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B0489" w14:textId="365A0437" w:rsidR="0076551D" w:rsidRPr="002A660E" w:rsidRDefault="00247223" w:rsidP="00247223">
      <w:pPr>
        <w:pStyle w:val="Title"/>
        <w:rPr>
          <w:rFonts w:ascii="Arial" w:hAnsi="Arial" w:cs="Arial"/>
          <w:b/>
          <w:bCs/>
          <w:sz w:val="52"/>
          <w:szCs w:val="52"/>
        </w:rPr>
      </w:pPr>
      <w:r w:rsidRPr="002A660E">
        <w:rPr>
          <w:rFonts w:ascii="Arial" w:hAnsi="Arial" w:cs="Arial"/>
          <w:b/>
          <w:bCs/>
          <w:sz w:val="52"/>
          <w:szCs w:val="52"/>
        </w:rPr>
        <w:t>Solar</w:t>
      </w:r>
      <w:r w:rsidR="009257E7" w:rsidRPr="002A660E">
        <w:rPr>
          <w:rFonts w:ascii="Arial" w:hAnsi="Arial" w:cs="Arial"/>
          <w:b/>
          <w:bCs/>
          <w:sz w:val="52"/>
          <w:szCs w:val="52"/>
        </w:rPr>
        <w:t xml:space="preserve"> Account</w:t>
      </w:r>
      <w:r w:rsidRPr="002A660E">
        <w:rPr>
          <w:rFonts w:ascii="Arial" w:hAnsi="Arial" w:cs="Arial"/>
          <w:b/>
          <w:bCs/>
          <w:sz w:val="52"/>
          <w:szCs w:val="52"/>
        </w:rPr>
        <w:t xml:space="preserve"> Comparison</w:t>
      </w:r>
    </w:p>
    <w:p w14:paraId="4B1EC189" w14:textId="77777777" w:rsidR="00110C2B" w:rsidRPr="002A660E" w:rsidRDefault="001B1615" w:rsidP="002A660E">
      <w:pPr>
        <w:spacing w:after="120"/>
        <w:ind w:right="360"/>
        <w:rPr>
          <w:rFonts w:ascii="Arial" w:hAnsi="Arial" w:cs="Arial"/>
        </w:rPr>
      </w:pPr>
      <w:r w:rsidRPr="002A660E">
        <w:rPr>
          <w:rFonts w:ascii="Arial" w:hAnsi="Arial" w:cs="Arial"/>
        </w:rPr>
        <w:t xml:space="preserve">The tables below highlight the differences between </w:t>
      </w:r>
      <w:r w:rsidR="00110C2B" w:rsidRPr="002A660E">
        <w:rPr>
          <w:rFonts w:ascii="Arial" w:hAnsi="Arial" w:cs="Arial"/>
        </w:rPr>
        <w:t>Redwood Coast Energy Authority (RCEA)</w:t>
      </w:r>
      <w:r w:rsidRPr="002A660E">
        <w:rPr>
          <w:rFonts w:ascii="Arial" w:hAnsi="Arial" w:cs="Arial"/>
        </w:rPr>
        <w:t xml:space="preserve"> and</w:t>
      </w:r>
      <w:r w:rsidR="00110C2B" w:rsidRPr="002A660E">
        <w:rPr>
          <w:rFonts w:ascii="Arial" w:hAnsi="Arial" w:cs="Arial"/>
        </w:rPr>
        <w:t xml:space="preserve"> Pacific Gas &amp; Electric</w:t>
      </w:r>
      <w:r w:rsidRPr="002A660E">
        <w:rPr>
          <w:rFonts w:ascii="Arial" w:hAnsi="Arial" w:cs="Arial"/>
        </w:rPr>
        <w:t xml:space="preserve"> </w:t>
      </w:r>
      <w:r w:rsidR="00110C2B" w:rsidRPr="002A660E">
        <w:rPr>
          <w:rFonts w:ascii="Arial" w:hAnsi="Arial" w:cs="Arial"/>
        </w:rPr>
        <w:t>(</w:t>
      </w:r>
      <w:r w:rsidRPr="002A660E">
        <w:rPr>
          <w:rFonts w:ascii="Arial" w:hAnsi="Arial" w:cs="Arial"/>
        </w:rPr>
        <w:t>PG&amp;E</w:t>
      </w:r>
      <w:r w:rsidR="00110C2B" w:rsidRPr="002A660E">
        <w:rPr>
          <w:rFonts w:ascii="Arial" w:hAnsi="Arial" w:cs="Arial"/>
        </w:rPr>
        <w:t>)</w:t>
      </w:r>
      <w:r w:rsidRPr="002A660E">
        <w:rPr>
          <w:rFonts w:ascii="Arial" w:hAnsi="Arial" w:cs="Arial"/>
        </w:rPr>
        <w:t xml:space="preserve"> solar accounts.</w:t>
      </w:r>
      <w:r w:rsidR="00E13D4B" w:rsidRPr="002A660E">
        <w:rPr>
          <w:rFonts w:ascii="Arial" w:hAnsi="Arial" w:cs="Arial"/>
        </w:rPr>
        <w:t xml:space="preserve"> </w:t>
      </w:r>
    </w:p>
    <w:p w14:paraId="3BCDE8DE" w14:textId="3F781A46" w:rsidR="008C343C" w:rsidRPr="002A660E" w:rsidRDefault="00E13D4B" w:rsidP="002A660E">
      <w:pPr>
        <w:spacing w:before="120" w:after="120"/>
        <w:ind w:right="360"/>
        <w:rPr>
          <w:rFonts w:ascii="Arial" w:hAnsi="Arial" w:cs="Arial"/>
        </w:rPr>
      </w:pPr>
      <w:r w:rsidRPr="002A660E">
        <w:rPr>
          <w:rFonts w:ascii="Arial" w:hAnsi="Arial" w:cs="Arial"/>
          <w:b/>
          <w:bCs/>
        </w:rPr>
        <w:t>RCEA solar customers</w:t>
      </w:r>
      <w:r w:rsidR="008C343C" w:rsidRPr="002A660E">
        <w:rPr>
          <w:rFonts w:ascii="Arial" w:hAnsi="Arial" w:cs="Arial"/>
        </w:rPr>
        <w:t xml:space="preserve"> </w:t>
      </w:r>
      <w:r w:rsidRPr="002A660E">
        <w:rPr>
          <w:rFonts w:ascii="Arial" w:hAnsi="Arial" w:cs="Arial"/>
        </w:rPr>
        <w:t xml:space="preserve">receive the benefits </w:t>
      </w:r>
      <w:r w:rsidR="008C343C" w:rsidRPr="002A660E">
        <w:rPr>
          <w:rFonts w:ascii="Arial" w:hAnsi="Arial" w:cs="Arial"/>
        </w:rPr>
        <w:t xml:space="preserve">listed in the RCEA (left) column below and </w:t>
      </w:r>
      <w:r w:rsidR="008C343C" w:rsidRPr="002A660E">
        <w:rPr>
          <w:rFonts w:ascii="Arial" w:hAnsi="Arial" w:cs="Arial"/>
          <w:u w:val="single"/>
        </w:rPr>
        <w:t>do not</w:t>
      </w:r>
      <w:r w:rsidR="008C343C" w:rsidRPr="002A660E">
        <w:rPr>
          <w:rFonts w:ascii="Arial" w:hAnsi="Arial" w:cs="Arial"/>
        </w:rPr>
        <w:t xml:space="preserve"> receive the benefits listed in the PG&amp;E (right) column below.</w:t>
      </w:r>
    </w:p>
    <w:p w14:paraId="5AB145F2" w14:textId="47C4F1CC" w:rsidR="008855CF" w:rsidRPr="002A660E" w:rsidRDefault="00307296" w:rsidP="002A660E">
      <w:pPr>
        <w:spacing w:before="120" w:after="120"/>
        <w:ind w:right="360"/>
        <w:rPr>
          <w:rFonts w:ascii="Arial" w:hAnsi="Arial" w:cs="Arial"/>
        </w:rPr>
      </w:pPr>
      <w:r w:rsidRPr="002A660E">
        <w:rPr>
          <w:rFonts w:ascii="Arial" w:hAnsi="Arial" w:cs="Arial"/>
          <w:b/>
          <w:bCs/>
        </w:rPr>
        <w:t>Customers</w:t>
      </w:r>
      <w:r w:rsidR="0089138B" w:rsidRPr="002A660E">
        <w:rPr>
          <w:rFonts w:ascii="Arial" w:hAnsi="Arial" w:cs="Arial"/>
          <w:b/>
          <w:bCs/>
        </w:rPr>
        <w:t xml:space="preserve"> who opt out of RCEA solar service</w:t>
      </w:r>
      <w:r w:rsidR="0089138B" w:rsidRPr="002A660E">
        <w:rPr>
          <w:rFonts w:ascii="Arial" w:hAnsi="Arial" w:cs="Arial"/>
        </w:rPr>
        <w:t xml:space="preserve"> </w:t>
      </w:r>
      <w:r w:rsidRPr="002A660E">
        <w:rPr>
          <w:rFonts w:ascii="Arial" w:hAnsi="Arial" w:cs="Arial"/>
        </w:rPr>
        <w:t xml:space="preserve">receive the benefits listed in the </w:t>
      </w:r>
      <w:r w:rsidR="0089138B" w:rsidRPr="002A660E">
        <w:rPr>
          <w:rFonts w:ascii="Arial" w:hAnsi="Arial" w:cs="Arial"/>
        </w:rPr>
        <w:t>PG&amp;E</w:t>
      </w:r>
      <w:r w:rsidRPr="002A660E">
        <w:rPr>
          <w:rFonts w:ascii="Arial" w:hAnsi="Arial" w:cs="Arial"/>
        </w:rPr>
        <w:t xml:space="preserve"> (</w:t>
      </w:r>
      <w:r w:rsidR="0089138B" w:rsidRPr="002A660E">
        <w:rPr>
          <w:rFonts w:ascii="Arial" w:hAnsi="Arial" w:cs="Arial"/>
        </w:rPr>
        <w:t>right</w:t>
      </w:r>
      <w:r w:rsidRPr="002A660E">
        <w:rPr>
          <w:rFonts w:ascii="Arial" w:hAnsi="Arial" w:cs="Arial"/>
        </w:rPr>
        <w:t xml:space="preserve">) column below and </w:t>
      </w:r>
      <w:r w:rsidRPr="002A660E">
        <w:rPr>
          <w:rFonts w:ascii="Arial" w:hAnsi="Arial" w:cs="Arial"/>
          <w:u w:val="single"/>
        </w:rPr>
        <w:t>do not</w:t>
      </w:r>
      <w:r w:rsidRPr="002A660E">
        <w:rPr>
          <w:rFonts w:ascii="Arial" w:hAnsi="Arial" w:cs="Arial"/>
        </w:rPr>
        <w:t xml:space="preserve"> receive the benefits listed in the </w:t>
      </w:r>
      <w:r w:rsidR="0089138B" w:rsidRPr="002A660E">
        <w:rPr>
          <w:rFonts w:ascii="Arial" w:hAnsi="Arial" w:cs="Arial"/>
        </w:rPr>
        <w:t>RCEA (left)</w:t>
      </w:r>
      <w:r w:rsidRPr="002A660E">
        <w:rPr>
          <w:rFonts w:ascii="Arial" w:hAnsi="Arial" w:cs="Arial"/>
        </w:rPr>
        <w:t xml:space="preserve"> column below.</w:t>
      </w:r>
    </w:p>
    <w:tbl>
      <w:tblPr>
        <w:tblStyle w:val="GridTable1Light"/>
        <w:tblpPr w:leftFromText="187" w:rightFromText="187" w:vertAnchor="text" w:horzAnchor="margin" w:tblpY="157"/>
        <w:tblW w:w="10795" w:type="dxa"/>
        <w:tblBorders>
          <w:top w:val="single" w:sz="2" w:space="0" w:color="003C79"/>
          <w:left w:val="single" w:sz="2" w:space="0" w:color="003C79"/>
          <w:bottom w:val="single" w:sz="2" w:space="0" w:color="003C79"/>
          <w:right w:val="single" w:sz="2" w:space="0" w:color="003C79"/>
          <w:insideH w:val="single" w:sz="2" w:space="0" w:color="003C79"/>
          <w:insideV w:val="single" w:sz="2" w:space="0" w:color="003C79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615"/>
        <w:gridCol w:w="4590"/>
        <w:gridCol w:w="4590"/>
      </w:tblGrid>
      <w:tr w:rsidR="008C343C" w:rsidRPr="00E91205" w14:paraId="6A107690" w14:textId="77777777" w:rsidTr="1F118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gridSpan w:val="3"/>
            <w:tcBorders>
              <w:bottom w:val="single" w:sz="12" w:space="0" w:color="003C79"/>
            </w:tcBorders>
            <w:shd w:val="clear" w:color="auto" w:fill="003C79"/>
          </w:tcPr>
          <w:p w14:paraId="4B006ADD" w14:textId="77777777" w:rsidR="00A06EB4" w:rsidRPr="00E91205" w:rsidRDefault="00A06EB4" w:rsidP="00A06EB4">
            <w:pPr>
              <w:spacing w:before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B0BA9">
              <w:rPr>
                <w:rFonts w:ascii="Arial" w:hAnsi="Arial" w:cs="Arial"/>
                <w:sz w:val="44"/>
                <w:szCs w:val="44"/>
              </w:rPr>
              <w:t>Net Energy Metering (NEM)</w:t>
            </w:r>
          </w:p>
        </w:tc>
      </w:tr>
      <w:tr w:rsidR="00F96058" w:rsidRPr="00E91205" w14:paraId="306CC4B2" w14:textId="77777777" w:rsidTr="00047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2" w:space="0" w:color="003C79"/>
            </w:tcBorders>
          </w:tcPr>
          <w:p w14:paraId="14A16568" w14:textId="77777777" w:rsidR="00A06EB4" w:rsidRPr="00E91205" w:rsidRDefault="00A06EB4" w:rsidP="00A06EB4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tcBorders>
              <w:top w:val="single" w:sz="12" w:space="0" w:color="003C79"/>
            </w:tcBorders>
            <w:shd w:val="clear" w:color="auto" w:fill="DAE9F7" w:themeFill="text2" w:themeFillTint="1A"/>
            <w:vAlign w:val="center"/>
          </w:tcPr>
          <w:p w14:paraId="0EBBFA43" w14:textId="77777777" w:rsidR="00A06EB4" w:rsidRPr="00E91205" w:rsidRDefault="00A06EB4" w:rsidP="00A06EB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120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RCEA </w:t>
            </w:r>
          </w:p>
        </w:tc>
        <w:tc>
          <w:tcPr>
            <w:tcW w:w="4590" w:type="dxa"/>
            <w:tcBorders>
              <w:top w:val="single" w:sz="12" w:space="0" w:color="003C79"/>
            </w:tcBorders>
            <w:shd w:val="clear" w:color="auto" w:fill="FFD3D3"/>
            <w:vAlign w:val="center"/>
          </w:tcPr>
          <w:p w14:paraId="5C7C87A6" w14:textId="77777777" w:rsidR="00A06EB4" w:rsidRPr="00E91205" w:rsidRDefault="00A06EB4" w:rsidP="00A06EB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120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PG&amp;E </w:t>
            </w:r>
          </w:p>
        </w:tc>
      </w:tr>
      <w:tr w:rsidR="00F96058" w:rsidRPr="00E91205" w14:paraId="73CE18B0" w14:textId="77777777" w:rsidTr="1F118F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57C2AEE3" w14:textId="77777777" w:rsidR="00A06EB4" w:rsidRPr="00E91205" w:rsidRDefault="00A06EB4" w:rsidP="00C651CA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E91205">
              <w:rPr>
                <w:rFonts w:ascii="Arial" w:hAnsi="Arial" w:cs="Arial"/>
                <w:sz w:val="24"/>
                <w:szCs w:val="24"/>
              </w:rPr>
              <w:t>Net Generation Bonus</w:t>
            </w:r>
          </w:p>
        </w:tc>
        <w:tc>
          <w:tcPr>
            <w:tcW w:w="4590" w:type="dxa"/>
          </w:tcPr>
          <w:p w14:paraId="62BC2C94" w14:textId="77777777" w:rsidR="00A06EB4" w:rsidRPr="00572B14" w:rsidRDefault="00A06EB4" w:rsidP="001E60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2B14">
              <w:rPr>
                <w:rFonts w:ascii="Arial" w:hAnsi="Arial" w:cs="Arial"/>
              </w:rPr>
              <w:t xml:space="preserve">RCEA customers that generate more electricity than they consume will receive a bonus of $0.01 per kWh </w:t>
            </w:r>
            <w:r w:rsidRPr="00572B14">
              <w:rPr>
                <w:rFonts w:ascii="Arial" w:hAnsi="Arial" w:cs="Arial"/>
                <w:b/>
                <w:bCs/>
              </w:rPr>
              <w:t>on top</w:t>
            </w:r>
            <w:r w:rsidRPr="00572B14">
              <w:rPr>
                <w:rFonts w:ascii="Arial" w:hAnsi="Arial" w:cs="Arial"/>
              </w:rPr>
              <w:t xml:space="preserve"> of credits earned on exports.</w:t>
            </w:r>
          </w:p>
        </w:tc>
        <w:tc>
          <w:tcPr>
            <w:tcW w:w="4590" w:type="dxa"/>
          </w:tcPr>
          <w:p w14:paraId="68071C1B" w14:textId="77777777" w:rsidR="00A06EB4" w:rsidRPr="00572B14" w:rsidRDefault="00A06EB4" w:rsidP="001E60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2B14">
              <w:rPr>
                <w:rFonts w:ascii="Arial" w:hAnsi="Arial" w:cs="Arial"/>
              </w:rPr>
              <w:t>PG&amp;E does not offer any bonus credits for electricity generation.</w:t>
            </w:r>
          </w:p>
        </w:tc>
      </w:tr>
      <w:tr w:rsidR="00F96058" w:rsidRPr="00E91205" w14:paraId="1B7995E9" w14:textId="77777777" w:rsidTr="1F118F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449612D2" w14:textId="77777777" w:rsidR="00A06EB4" w:rsidRPr="00E91205" w:rsidRDefault="00A06EB4" w:rsidP="00C651CA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E91205">
              <w:rPr>
                <w:rFonts w:ascii="Arial" w:hAnsi="Arial" w:cs="Arial"/>
                <w:sz w:val="24"/>
                <w:szCs w:val="24"/>
              </w:rPr>
              <w:t>Annual Cash Out</w:t>
            </w:r>
          </w:p>
        </w:tc>
        <w:tc>
          <w:tcPr>
            <w:tcW w:w="4590" w:type="dxa"/>
          </w:tcPr>
          <w:p w14:paraId="4C5CD7EF" w14:textId="6726F0DF" w:rsidR="00A06EB4" w:rsidRPr="00572B14" w:rsidRDefault="00A06EB4" w:rsidP="001E60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2B14">
              <w:rPr>
                <w:rFonts w:ascii="Arial" w:hAnsi="Arial" w:cs="Arial"/>
              </w:rPr>
              <w:t>RCEA will automatically send a cash out check to all solar customers whose generation credit balance is $100</w:t>
            </w:r>
            <w:r w:rsidR="00921782">
              <w:rPr>
                <w:rFonts w:ascii="Arial" w:hAnsi="Arial" w:cs="Arial"/>
              </w:rPr>
              <w:t xml:space="preserve"> or more</w:t>
            </w:r>
            <w:r w:rsidRPr="00572B14">
              <w:rPr>
                <w:rFonts w:ascii="Arial" w:hAnsi="Arial" w:cs="Arial"/>
              </w:rPr>
              <w:t>. (Maximum cash payout = $5,000)</w:t>
            </w:r>
          </w:p>
        </w:tc>
        <w:tc>
          <w:tcPr>
            <w:tcW w:w="4590" w:type="dxa"/>
          </w:tcPr>
          <w:p w14:paraId="20D4B6E8" w14:textId="5299B4EF" w:rsidR="00A06EB4" w:rsidRPr="00572B14" w:rsidRDefault="009A2AF6" w:rsidP="001E60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2AF6">
              <w:rPr>
                <w:rFonts w:ascii="Arial" w:hAnsi="Arial" w:cs="Arial"/>
              </w:rPr>
              <w:t xml:space="preserve">Customers must contact PG&amp;E to request a check during their True-Up. (A customer’s True-Up date is based on their solar start date.) </w:t>
            </w:r>
            <w:proofErr w:type="gramStart"/>
            <w:r w:rsidRPr="009A2AF6">
              <w:rPr>
                <w:rFonts w:ascii="Arial" w:hAnsi="Arial" w:cs="Arial"/>
              </w:rPr>
              <w:t>Generation</w:t>
            </w:r>
            <w:proofErr w:type="gramEnd"/>
            <w:r w:rsidRPr="009A2AF6">
              <w:rPr>
                <w:rFonts w:ascii="Arial" w:hAnsi="Arial" w:cs="Arial"/>
              </w:rPr>
              <w:t xml:space="preserve"> credit balance must be above $1.00.</w:t>
            </w:r>
          </w:p>
        </w:tc>
      </w:tr>
      <w:tr w:rsidR="00F96058" w:rsidRPr="00E91205" w14:paraId="505A4ED1" w14:textId="77777777" w:rsidTr="1F118F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2278C4E4" w14:textId="77777777" w:rsidR="00A06EB4" w:rsidRPr="00E91205" w:rsidRDefault="00A06EB4" w:rsidP="00C651CA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E91205">
              <w:rPr>
                <w:rFonts w:ascii="Arial" w:hAnsi="Arial" w:cs="Arial"/>
                <w:sz w:val="24"/>
                <w:szCs w:val="24"/>
              </w:rPr>
              <w:t>Cash Out Rate</w:t>
            </w:r>
          </w:p>
        </w:tc>
        <w:tc>
          <w:tcPr>
            <w:tcW w:w="4590" w:type="dxa"/>
          </w:tcPr>
          <w:p w14:paraId="0E262FFB" w14:textId="77777777" w:rsidR="00A06EB4" w:rsidRPr="00572B14" w:rsidRDefault="00A06EB4" w:rsidP="001E60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2B14">
              <w:rPr>
                <w:rFonts w:ascii="Arial" w:hAnsi="Arial" w:cs="Arial"/>
              </w:rPr>
              <w:t xml:space="preserve">Credits are </w:t>
            </w:r>
            <w:proofErr w:type="gramStart"/>
            <w:r w:rsidRPr="00572B14">
              <w:rPr>
                <w:rFonts w:ascii="Arial" w:hAnsi="Arial" w:cs="Arial"/>
              </w:rPr>
              <w:t>paid out</w:t>
            </w:r>
            <w:proofErr w:type="gramEnd"/>
            <w:r w:rsidRPr="00572B14">
              <w:rPr>
                <w:rFonts w:ascii="Arial" w:hAnsi="Arial" w:cs="Arial"/>
              </w:rPr>
              <w:t xml:space="preserve"> at the rate customers pay for electricity (also called the retail rate). </w:t>
            </w:r>
          </w:p>
        </w:tc>
        <w:tc>
          <w:tcPr>
            <w:tcW w:w="4590" w:type="dxa"/>
          </w:tcPr>
          <w:p w14:paraId="6A0B58CB" w14:textId="1078693B" w:rsidR="00A06EB4" w:rsidRPr="00572B14" w:rsidRDefault="00A06EB4" w:rsidP="001E60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2B14">
              <w:rPr>
                <w:rFonts w:ascii="Arial" w:hAnsi="Arial" w:cs="Arial"/>
              </w:rPr>
              <w:t xml:space="preserve">Credits are paid out at the Net Surplus Compensation (NSC) rate. This rate </w:t>
            </w:r>
            <w:r w:rsidR="00986239" w:rsidRPr="00572B14">
              <w:rPr>
                <w:rFonts w:ascii="Arial" w:hAnsi="Arial" w:cs="Arial"/>
              </w:rPr>
              <w:t>varies</w:t>
            </w:r>
            <w:r w:rsidRPr="00572B14">
              <w:rPr>
                <w:rFonts w:ascii="Arial" w:hAnsi="Arial" w:cs="Arial"/>
              </w:rPr>
              <w:t xml:space="preserve"> based on wholesale prices of energy, which are lower than retail prices.</w:t>
            </w:r>
          </w:p>
        </w:tc>
      </w:tr>
      <w:tr w:rsidR="00F96058" w:rsidRPr="00E91205" w14:paraId="0B096F08" w14:textId="77777777" w:rsidTr="1F118F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338E976C" w14:textId="77777777" w:rsidR="00A06EB4" w:rsidRPr="00E91205" w:rsidRDefault="00A06EB4" w:rsidP="00C651CA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E91205">
              <w:rPr>
                <w:rFonts w:ascii="Arial" w:hAnsi="Arial" w:cs="Arial"/>
                <w:sz w:val="24"/>
                <w:szCs w:val="24"/>
              </w:rPr>
              <w:t>Cash Out Schedule</w:t>
            </w:r>
          </w:p>
        </w:tc>
        <w:tc>
          <w:tcPr>
            <w:tcW w:w="4590" w:type="dxa"/>
          </w:tcPr>
          <w:p w14:paraId="0053C881" w14:textId="5DE1E68C" w:rsidR="00A06EB4" w:rsidRPr="00572B14" w:rsidRDefault="00A06EB4" w:rsidP="001E60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572B14">
              <w:rPr>
                <w:rFonts w:ascii="Arial" w:hAnsi="Arial" w:cs="Arial"/>
              </w:rPr>
              <w:t>Annual</w:t>
            </w:r>
            <w:proofErr w:type="gramEnd"/>
            <w:r w:rsidRPr="00572B14">
              <w:rPr>
                <w:rFonts w:ascii="Arial" w:hAnsi="Arial" w:cs="Arial"/>
              </w:rPr>
              <w:t xml:space="preserve"> cash out begins in May for all </w:t>
            </w:r>
            <w:r w:rsidR="00986239" w:rsidRPr="00572B14">
              <w:rPr>
                <w:rFonts w:ascii="Arial" w:hAnsi="Arial" w:cs="Arial"/>
              </w:rPr>
              <w:t xml:space="preserve">eligible </w:t>
            </w:r>
            <w:r w:rsidRPr="00572B14">
              <w:rPr>
                <w:rFonts w:ascii="Arial" w:hAnsi="Arial" w:cs="Arial"/>
              </w:rPr>
              <w:t xml:space="preserve">RCEA customers. It may take </w:t>
            </w:r>
            <w:r w:rsidR="00ED7C94" w:rsidRPr="00572B14">
              <w:rPr>
                <w:rFonts w:ascii="Arial" w:hAnsi="Arial" w:cs="Arial"/>
              </w:rPr>
              <w:t>a few</w:t>
            </w:r>
            <w:r w:rsidRPr="00572B14">
              <w:rPr>
                <w:rFonts w:ascii="Arial" w:hAnsi="Arial" w:cs="Arial"/>
              </w:rPr>
              <w:t xml:space="preserve"> months to receive your check, depending on </w:t>
            </w:r>
            <w:proofErr w:type="gramStart"/>
            <w:r w:rsidRPr="00572B14">
              <w:rPr>
                <w:rFonts w:ascii="Arial" w:hAnsi="Arial" w:cs="Arial"/>
              </w:rPr>
              <w:t>processing</w:t>
            </w:r>
            <w:proofErr w:type="gramEnd"/>
            <w:r w:rsidRPr="00572B14">
              <w:rPr>
                <w:rFonts w:ascii="Arial" w:hAnsi="Arial" w:cs="Arial"/>
              </w:rPr>
              <w:t xml:space="preserve"> times.</w:t>
            </w:r>
          </w:p>
        </w:tc>
        <w:tc>
          <w:tcPr>
            <w:tcW w:w="4590" w:type="dxa"/>
          </w:tcPr>
          <w:p w14:paraId="293FAE2B" w14:textId="51859B2D" w:rsidR="00A06EB4" w:rsidRPr="00572B14" w:rsidRDefault="009A2AF6" w:rsidP="001E60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2AF6">
              <w:rPr>
                <w:rFonts w:ascii="Arial" w:hAnsi="Arial" w:cs="Arial"/>
              </w:rPr>
              <w:t xml:space="preserve">Customers must contact PG&amp;E to request a check during their True-Up. (A customer’s True-Up date is based on their solar start date.) </w:t>
            </w:r>
            <w:proofErr w:type="gramStart"/>
            <w:r w:rsidRPr="009A2AF6">
              <w:rPr>
                <w:rFonts w:ascii="Arial" w:hAnsi="Arial" w:cs="Arial"/>
              </w:rPr>
              <w:t>Generation</w:t>
            </w:r>
            <w:proofErr w:type="gramEnd"/>
            <w:r w:rsidRPr="009A2AF6">
              <w:rPr>
                <w:rFonts w:ascii="Arial" w:hAnsi="Arial" w:cs="Arial"/>
              </w:rPr>
              <w:t xml:space="preserve"> credit balance must be above $1.00.</w:t>
            </w:r>
          </w:p>
        </w:tc>
      </w:tr>
      <w:tr w:rsidR="00572B14" w:rsidRPr="00E91205" w14:paraId="6AD272D9" w14:textId="77777777" w:rsidTr="1F118F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03F54BBE" w14:textId="77777777" w:rsidR="00572B14" w:rsidRPr="00E91205" w:rsidRDefault="00572B14" w:rsidP="00572B14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E91205">
              <w:rPr>
                <w:rFonts w:ascii="Arial" w:hAnsi="Arial" w:cs="Arial"/>
                <w:sz w:val="24"/>
                <w:szCs w:val="24"/>
              </w:rPr>
              <w:t>Credit Rollover</w:t>
            </w:r>
          </w:p>
        </w:tc>
        <w:tc>
          <w:tcPr>
            <w:tcW w:w="4590" w:type="dxa"/>
          </w:tcPr>
          <w:p w14:paraId="54E6D174" w14:textId="4D3FF1B5" w:rsidR="00572B14" w:rsidRPr="00572B14" w:rsidRDefault="00572B14" w:rsidP="00572B14">
            <w:pPr>
              <w:spacing w:before="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2B14">
              <w:rPr>
                <w:rFonts w:ascii="Arial" w:hAnsi="Arial" w:cs="Arial"/>
              </w:rPr>
              <w:t xml:space="preserve">If a customer's generation credit balance is </w:t>
            </w:r>
            <w:r w:rsidRPr="00572B14">
              <w:rPr>
                <w:rFonts w:ascii="Arial" w:hAnsi="Arial" w:cs="Arial"/>
                <w:b/>
                <w:bCs/>
              </w:rPr>
              <w:t>less than $100</w:t>
            </w:r>
            <w:r w:rsidRPr="00572B14">
              <w:rPr>
                <w:rFonts w:ascii="Arial" w:hAnsi="Arial" w:cs="Arial"/>
              </w:rPr>
              <w:t xml:space="preserve"> at the time of cash out, those credits will remain on their electric </w:t>
            </w:r>
            <w:r w:rsidRPr="2C41372E">
              <w:rPr>
                <w:rFonts w:ascii="Arial" w:hAnsi="Arial" w:cs="Arial"/>
              </w:rPr>
              <w:t>bill</w:t>
            </w:r>
            <w:r w:rsidRPr="00572B14">
              <w:rPr>
                <w:rFonts w:ascii="Arial" w:hAnsi="Arial" w:cs="Arial"/>
              </w:rPr>
              <w:t xml:space="preserve">. </w:t>
            </w:r>
          </w:p>
          <w:p w14:paraId="403D4C08" w14:textId="35FE1F8A" w:rsidR="00572B14" w:rsidRPr="00572B14" w:rsidRDefault="00572B14" w:rsidP="00572B1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2B14">
              <w:rPr>
                <w:rFonts w:ascii="Arial" w:hAnsi="Arial" w:cs="Arial"/>
              </w:rPr>
              <w:t xml:space="preserve">If the generation credit balance is </w:t>
            </w:r>
            <w:r w:rsidRPr="00572B14">
              <w:rPr>
                <w:rFonts w:ascii="Arial" w:hAnsi="Arial" w:cs="Arial"/>
                <w:b/>
                <w:bCs/>
              </w:rPr>
              <w:t>more than $5,000</w:t>
            </w:r>
            <w:r w:rsidRPr="00572B14">
              <w:rPr>
                <w:rFonts w:ascii="Arial" w:hAnsi="Arial" w:cs="Arial"/>
              </w:rPr>
              <w:t xml:space="preserve"> at the time of cash out, $5,000 will be cashed out, and the remaining credits will remain on subsequent electric bills. </w:t>
            </w:r>
          </w:p>
        </w:tc>
        <w:tc>
          <w:tcPr>
            <w:tcW w:w="4590" w:type="dxa"/>
          </w:tcPr>
          <w:p w14:paraId="0A9AAC58" w14:textId="77777777" w:rsidR="00572B14" w:rsidRPr="00572B14" w:rsidRDefault="00572B14" w:rsidP="00572B1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2B14">
              <w:rPr>
                <w:rFonts w:ascii="Arial" w:hAnsi="Arial" w:cs="Arial"/>
              </w:rPr>
              <w:t xml:space="preserve">Credit rollover is the default payout option for PG&amp;E generation customers. Cash </w:t>
            </w:r>
            <w:proofErr w:type="gramStart"/>
            <w:r w:rsidRPr="00572B14">
              <w:rPr>
                <w:rFonts w:ascii="Arial" w:hAnsi="Arial" w:cs="Arial"/>
              </w:rPr>
              <w:t>payout</w:t>
            </w:r>
            <w:proofErr w:type="gramEnd"/>
            <w:r w:rsidRPr="00572B14">
              <w:rPr>
                <w:rFonts w:ascii="Arial" w:hAnsi="Arial" w:cs="Arial"/>
              </w:rPr>
              <w:t xml:space="preserve"> is available on request only.</w:t>
            </w:r>
          </w:p>
        </w:tc>
      </w:tr>
    </w:tbl>
    <w:tbl>
      <w:tblPr>
        <w:tblStyle w:val="GridTable1Light"/>
        <w:tblpPr w:leftFromText="180" w:rightFromText="180" w:vertAnchor="page" w:horzAnchor="margin" w:tblpY="2030"/>
        <w:tblW w:w="10795" w:type="dxa"/>
        <w:tblBorders>
          <w:top w:val="single" w:sz="4" w:space="0" w:color="003C79"/>
          <w:left w:val="single" w:sz="4" w:space="0" w:color="003C79"/>
          <w:bottom w:val="single" w:sz="4" w:space="0" w:color="003C79"/>
          <w:right w:val="single" w:sz="4" w:space="0" w:color="003C79"/>
          <w:insideH w:val="single" w:sz="4" w:space="0" w:color="003C79"/>
          <w:insideV w:val="single" w:sz="4" w:space="0" w:color="003C79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615"/>
        <w:gridCol w:w="4590"/>
        <w:gridCol w:w="4590"/>
      </w:tblGrid>
      <w:tr w:rsidR="000F1711" w:rsidRPr="00E91205" w14:paraId="4D9217A5" w14:textId="77777777" w:rsidTr="1F118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gridSpan w:val="3"/>
            <w:shd w:val="clear" w:color="auto" w:fill="003C79"/>
          </w:tcPr>
          <w:p w14:paraId="653C18D9" w14:textId="77777777" w:rsidR="000F1711" w:rsidRPr="00E91205" w:rsidRDefault="000F1711" w:rsidP="000F1711">
            <w:pPr>
              <w:spacing w:before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B0BA9">
              <w:rPr>
                <w:rFonts w:ascii="Arial" w:hAnsi="Arial" w:cs="Arial"/>
                <w:sz w:val="44"/>
                <w:szCs w:val="44"/>
              </w:rPr>
              <w:lastRenderedPageBreak/>
              <w:t>Solar Billing Plan (SBP)</w:t>
            </w:r>
          </w:p>
        </w:tc>
      </w:tr>
      <w:tr w:rsidR="000F1711" w:rsidRPr="00E91205" w14:paraId="5D68B4BB" w14:textId="77777777" w:rsidTr="00047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2" w:space="0" w:color="003C79"/>
            </w:tcBorders>
          </w:tcPr>
          <w:p w14:paraId="78A1F479" w14:textId="77777777" w:rsidR="000F1711" w:rsidRPr="00E91205" w:rsidRDefault="000F1711" w:rsidP="000F1711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tcBorders>
              <w:top w:val="single" w:sz="12" w:space="0" w:color="003C79"/>
            </w:tcBorders>
            <w:shd w:val="clear" w:color="auto" w:fill="DAE9F7" w:themeFill="text2" w:themeFillTint="1A"/>
            <w:vAlign w:val="center"/>
          </w:tcPr>
          <w:p w14:paraId="782CB67F" w14:textId="77777777" w:rsidR="000F1711" w:rsidRPr="00E91205" w:rsidRDefault="000F1711" w:rsidP="000F171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9120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RCEA </w:t>
            </w:r>
          </w:p>
        </w:tc>
        <w:tc>
          <w:tcPr>
            <w:tcW w:w="4590" w:type="dxa"/>
            <w:tcBorders>
              <w:top w:val="single" w:sz="12" w:space="0" w:color="003C79"/>
            </w:tcBorders>
            <w:shd w:val="clear" w:color="auto" w:fill="FFD3D3"/>
            <w:vAlign w:val="center"/>
          </w:tcPr>
          <w:p w14:paraId="66621FBE" w14:textId="77777777" w:rsidR="000F1711" w:rsidRPr="00E91205" w:rsidRDefault="000F1711" w:rsidP="000F171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9120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PG&amp;E </w:t>
            </w:r>
          </w:p>
        </w:tc>
      </w:tr>
      <w:tr w:rsidR="000F1711" w:rsidRPr="00E91205" w14:paraId="03FD2F27" w14:textId="77777777" w:rsidTr="1F118F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14EA5BAD" w14:textId="77777777" w:rsidR="000F1711" w:rsidRPr="00A06EB4" w:rsidRDefault="000F1711" w:rsidP="000F1711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A06EB4">
              <w:rPr>
                <w:rFonts w:ascii="Arial" w:hAnsi="Arial" w:cs="Arial"/>
                <w:sz w:val="24"/>
                <w:szCs w:val="24"/>
              </w:rPr>
              <w:t>Net Generation Bonus</w:t>
            </w:r>
          </w:p>
        </w:tc>
        <w:tc>
          <w:tcPr>
            <w:tcW w:w="4590" w:type="dxa"/>
          </w:tcPr>
          <w:p w14:paraId="7DCBCB58" w14:textId="77777777" w:rsidR="000F1711" w:rsidRPr="00572B14" w:rsidRDefault="000F1711" w:rsidP="000F171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2B14">
              <w:rPr>
                <w:rFonts w:ascii="Arial" w:hAnsi="Arial" w:cs="Arial"/>
              </w:rPr>
              <w:t xml:space="preserve">RCEA customers that generate more electricity than they consume will receive a bonus of $0.01 per kWh </w:t>
            </w:r>
            <w:r w:rsidRPr="00572B14">
              <w:rPr>
                <w:rFonts w:ascii="Arial" w:hAnsi="Arial" w:cs="Arial"/>
                <w:b/>
                <w:bCs/>
              </w:rPr>
              <w:t>on top</w:t>
            </w:r>
            <w:r w:rsidRPr="00572B14">
              <w:rPr>
                <w:rFonts w:ascii="Arial" w:hAnsi="Arial" w:cs="Arial"/>
              </w:rPr>
              <w:t xml:space="preserve"> of credits earned on exports.</w:t>
            </w:r>
          </w:p>
        </w:tc>
        <w:tc>
          <w:tcPr>
            <w:tcW w:w="4590" w:type="dxa"/>
          </w:tcPr>
          <w:p w14:paraId="0E44E476" w14:textId="75DE76F1" w:rsidR="000F1711" w:rsidRPr="00572B14" w:rsidRDefault="00296562" w:rsidP="000F171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562">
              <w:rPr>
                <w:rFonts w:ascii="Arial" w:hAnsi="Arial" w:cs="Arial"/>
              </w:rPr>
              <w:t>PG&amp;E does not offer RCEA’s $0.01 per kWh bonus.</w:t>
            </w:r>
          </w:p>
        </w:tc>
      </w:tr>
      <w:tr w:rsidR="000F1711" w:rsidRPr="00E91205" w14:paraId="7D9A511D" w14:textId="77777777" w:rsidTr="1F118F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2306AC0F" w14:textId="77777777" w:rsidR="000F1711" w:rsidRPr="00A06EB4" w:rsidRDefault="000F1711" w:rsidP="000F1711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A06EB4">
              <w:rPr>
                <w:rFonts w:ascii="Arial" w:hAnsi="Arial" w:cs="Arial"/>
                <w:sz w:val="24"/>
                <w:szCs w:val="24"/>
              </w:rPr>
              <w:t>Annual Cash Out</w:t>
            </w:r>
          </w:p>
        </w:tc>
        <w:tc>
          <w:tcPr>
            <w:tcW w:w="4590" w:type="dxa"/>
          </w:tcPr>
          <w:p w14:paraId="52037A77" w14:textId="2D328666" w:rsidR="000F1711" w:rsidRPr="00572B14" w:rsidRDefault="000F1711" w:rsidP="000F171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2B14">
              <w:rPr>
                <w:rFonts w:ascii="Arial" w:hAnsi="Arial" w:cs="Arial"/>
              </w:rPr>
              <w:t>RCEA will automatically send a cash out check to all solar customers whose generation credit balance is $100</w:t>
            </w:r>
            <w:r w:rsidR="00921782">
              <w:rPr>
                <w:rFonts w:ascii="Arial" w:hAnsi="Arial" w:cs="Arial"/>
              </w:rPr>
              <w:t xml:space="preserve"> or more</w:t>
            </w:r>
            <w:r w:rsidRPr="00572B14">
              <w:rPr>
                <w:rFonts w:ascii="Arial" w:hAnsi="Arial" w:cs="Arial"/>
              </w:rPr>
              <w:t>. (Maximum cash payout = $5,000)</w:t>
            </w:r>
          </w:p>
        </w:tc>
        <w:tc>
          <w:tcPr>
            <w:tcW w:w="4590" w:type="dxa"/>
          </w:tcPr>
          <w:p w14:paraId="6A7DF7DA" w14:textId="2EA4AC3E" w:rsidR="000F1711" w:rsidRPr="00572B14" w:rsidRDefault="009A2AF6" w:rsidP="000F171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2AF6">
              <w:rPr>
                <w:rFonts w:ascii="Arial" w:hAnsi="Arial" w:cs="Arial"/>
              </w:rPr>
              <w:t xml:space="preserve">Customers must contact PG&amp;E to request a check during their True-Up. (A customer’s True-Up date is based on their solar start date.) </w:t>
            </w:r>
            <w:proofErr w:type="gramStart"/>
            <w:r w:rsidRPr="009A2AF6">
              <w:rPr>
                <w:rFonts w:ascii="Arial" w:hAnsi="Arial" w:cs="Arial"/>
              </w:rPr>
              <w:t>Generation</w:t>
            </w:r>
            <w:proofErr w:type="gramEnd"/>
            <w:r w:rsidRPr="009A2AF6">
              <w:rPr>
                <w:rFonts w:ascii="Arial" w:hAnsi="Arial" w:cs="Arial"/>
              </w:rPr>
              <w:t xml:space="preserve"> credit balance must be above $1.00.</w:t>
            </w:r>
          </w:p>
        </w:tc>
      </w:tr>
      <w:tr w:rsidR="000F1711" w:rsidRPr="00E91205" w14:paraId="3CE41EBB" w14:textId="77777777" w:rsidTr="1F118F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2426CD75" w14:textId="77777777" w:rsidR="000F1711" w:rsidRPr="00A06EB4" w:rsidRDefault="000F1711" w:rsidP="000F1711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A06EB4">
              <w:rPr>
                <w:rFonts w:ascii="Arial" w:hAnsi="Arial" w:cs="Arial"/>
                <w:sz w:val="24"/>
                <w:szCs w:val="24"/>
              </w:rPr>
              <w:t>Cash Out Rate</w:t>
            </w:r>
          </w:p>
        </w:tc>
        <w:tc>
          <w:tcPr>
            <w:tcW w:w="4590" w:type="dxa"/>
          </w:tcPr>
          <w:p w14:paraId="7FA4C828" w14:textId="77777777" w:rsidR="000F1711" w:rsidRPr="00572B14" w:rsidRDefault="000F1711" w:rsidP="000F1711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2B14">
              <w:rPr>
                <w:rFonts w:ascii="Arial" w:hAnsi="Arial" w:cs="Arial"/>
              </w:rPr>
              <w:t>Each month, generation credits are accrued at the current fair market value of energy, which is called the Energy Export Credit (EEC) Rate. </w:t>
            </w:r>
          </w:p>
          <w:p w14:paraId="6F9FB1BF" w14:textId="77777777" w:rsidR="000F1711" w:rsidRPr="00572B14" w:rsidRDefault="000F1711" w:rsidP="000F1711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2B14">
              <w:rPr>
                <w:rFonts w:ascii="Arial" w:hAnsi="Arial" w:cs="Arial"/>
              </w:rPr>
              <w:t>At the annual cash out, credits are calculated by multiplying the net kWh generation for the year by the Net Surplus Compensation (NSC) rate.</w:t>
            </w:r>
          </w:p>
          <w:p w14:paraId="5C72D91B" w14:textId="77777777" w:rsidR="000F1711" w:rsidRPr="00572B14" w:rsidRDefault="000F1711" w:rsidP="000F171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2B14">
              <w:rPr>
                <w:rFonts w:ascii="Arial" w:hAnsi="Arial" w:cs="Arial"/>
              </w:rPr>
              <w:t>The total cash out value may be a combination of credits earned at the EEC rate plus the credits earned for the net cumulative kWh generated.  </w:t>
            </w:r>
          </w:p>
        </w:tc>
        <w:tc>
          <w:tcPr>
            <w:tcW w:w="4590" w:type="dxa"/>
          </w:tcPr>
          <w:p w14:paraId="3CFFD03A" w14:textId="619A1BA9" w:rsidR="000F1711" w:rsidRPr="00572B14" w:rsidRDefault="30639465" w:rsidP="000F171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2B14">
              <w:rPr>
                <w:rFonts w:ascii="Arial" w:hAnsi="Arial" w:cs="Arial"/>
              </w:rPr>
              <w:t>Each month, generation credits are accrued at the current fair market value of energy, which is called the Energy Export Credit (EEC) Rate. </w:t>
            </w:r>
            <w:r w:rsidR="000F1711" w:rsidRPr="00572B14">
              <w:br/>
            </w:r>
            <w:r w:rsidR="000F1711" w:rsidRPr="00572B14">
              <w:br/>
            </w:r>
            <w:r w:rsidRPr="00572B14">
              <w:rPr>
                <w:rFonts w:ascii="Arial" w:hAnsi="Arial" w:cs="Arial"/>
              </w:rPr>
              <w:t>At True-Up, customers</w:t>
            </w:r>
            <w:r w:rsidR="7237830D" w:rsidRPr="00572B14">
              <w:rPr>
                <w:rFonts w:ascii="Arial" w:hAnsi="Arial" w:cs="Arial"/>
              </w:rPr>
              <w:t>’</w:t>
            </w:r>
            <w:r w:rsidRPr="00572B14">
              <w:rPr>
                <w:rFonts w:ascii="Arial" w:hAnsi="Arial" w:cs="Arial"/>
              </w:rPr>
              <w:t xml:space="preserve"> net generation </w:t>
            </w:r>
            <w:r w:rsidR="7237830D" w:rsidRPr="00572B14">
              <w:rPr>
                <w:rFonts w:ascii="Arial" w:hAnsi="Arial" w:cs="Arial"/>
              </w:rPr>
              <w:t xml:space="preserve">is </w:t>
            </w:r>
            <w:r w:rsidR="0EDDCED1" w:rsidRPr="00572B14">
              <w:rPr>
                <w:rFonts w:ascii="Arial" w:hAnsi="Arial" w:cs="Arial"/>
              </w:rPr>
              <w:t>multiplied by</w:t>
            </w:r>
            <w:r w:rsidRPr="00572B14">
              <w:rPr>
                <w:rFonts w:ascii="Arial" w:hAnsi="Arial" w:cs="Arial"/>
              </w:rPr>
              <w:t xml:space="preserve"> the Net Surplus Compensation (NSC) rate. They can request a check or have their credits rolled over.  </w:t>
            </w:r>
          </w:p>
        </w:tc>
      </w:tr>
      <w:tr w:rsidR="000F1711" w:rsidRPr="00E91205" w14:paraId="190CEDBE" w14:textId="77777777" w:rsidTr="1F118F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167BC7B9" w14:textId="77777777" w:rsidR="000F1711" w:rsidRPr="00A06EB4" w:rsidRDefault="000F1711" w:rsidP="000F1711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A06EB4">
              <w:rPr>
                <w:rFonts w:ascii="Arial" w:hAnsi="Arial" w:cs="Arial"/>
                <w:sz w:val="24"/>
                <w:szCs w:val="24"/>
              </w:rPr>
              <w:t>Cash Out Schedule</w:t>
            </w:r>
          </w:p>
        </w:tc>
        <w:tc>
          <w:tcPr>
            <w:tcW w:w="4590" w:type="dxa"/>
          </w:tcPr>
          <w:p w14:paraId="25A9CB3E" w14:textId="0E90A3A0" w:rsidR="000F1711" w:rsidRPr="00572B14" w:rsidRDefault="30639465" w:rsidP="000F171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572B14">
              <w:rPr>
                <w:rFonts w:ascii="Arial" w:hAnsi="Arial" w:cs="Arial"/>
              </w:rPr>
              <w:t>Annual</w:t>
            </w:r>
            <w:proofErr w:type="gramEnd"/>
            <w:r w:rsidRPr="00572B14">
              <w:rPr>
                <w:rFonts w:ascii="Arial" w:hAnsi="Arial" w:cs="Arial"/>
              </w:rPr>
              <w:t xml:space="preserve"> cash out begins in May for all RCEA customers. It may take </w:t>
            </w:r>
            <w:r w:rsidR="006673D5" w:rsidRPr="00572B14">
              <w:rPr>
                <w:rFonts w:ascii="Arial" w:hAnsi="Arial" w:cs="Arial"/>
              </w:rPr>
              <w:t xml:space="preserve">a few </w:t>
            </w:r>
            <w:r w:rsidRPr="00572B14">
              <w:rPr>
                <w:rFonts w:ascii="Arial" w:hAnsi="Arial" w:cs="Arial"/>
              </w:rPr>
              <w:t xml:space="preserve">months to receive your check, depending on </w:t>
            </w:r>
            <w:proofErr w:type="gramStart"/>
            <w:r w:rsidRPr="00572B14">
              <w:rPr>
                <w:rFonts w:ascii="Arial" w:hAnsi="Arial" w:cs="Arial"/>
              </w:rPr>
              <w:t>processing</w:t>
            </w:r>
            <w:proofErr w:type="gramEnd"/>
            <w:r w:rsidRPr="00572B14">
              <w:rPr>
                <w:rFonts w:ascii="Arial" w:hAnsi="Arial" w:cs="Arial"/>
              </w:rPr>
              <w:t xml:space="preserve"> times.</w:t>
            </w:r>
          </w:p>
        </w:tc>
        <w:tc>
          <w:tcPr>
            <w:tcW w:w="4590" w:type="dxa"/>
          </w:tcPr>
          <w:p w14:paraId="7DE6C47D" w14:textId="544145A1" w:rsidR="000F1711" w:rsidRPr="00572B14" w:rsidRDefault="009A2AF6" w:rsidP="000F171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2AF6">
              <w:rPr>
                <w:rFonts w:ascii="Arial" w:hAnsi="Arial" w:cs="Arial"/>
              </w:rPr>
              <w:t xml:space="preserve">Customers must contact PG&amp;E to request a check during their True-Up. (A customer’s True-Up date is based on their solar start date.) </w:t>
            </w:r>
            <w:proofErr w:type="gramStart"/>
            <w:r w:rsidRPr="009A2AF6">
              <w:rPr>
                <w:rFonts w:ascii="Arial" w:hAnsi="Arial" w:cs="Arial"/>
              </w:rPr>
              <w:t>Generation</w:t>
            </w:r>
            <w:proofErr w:type="gramEnd"/>
            <w:r w:rsidRPr="009A2AF6">
              <w:rPr>
                <w:rFonts w:ascii="Arial" w:hAnsi="Arial" w:cs="Arial"/>
              </w:rPr>
              <w:t xml:space="preserve"> credit balance must be above $1.00.</w:t>
            </w:r>
          </w:p>
        </w:tc>
      </w:tr>
      <w:tr w:rsidR="000F1711" w:rsidRPr="00E91205" w14:paraId="43483B6E" w14:textId="77777777" w:rsidTr="1F118F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20094F18" w14:textId="77777777" w:rsidR="000F1711" w:rsidRPr="00A06EB4" w:rsidRDefault="000F1711" w:rsidP="000F1711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A06EB4">
              <w:rPr>
                <w:rFonts w:ascii="Arial" w:hAnsi="Arial" w:cs="Arial"/>
                <w:sz w:val="24"/>
                <w:szCs w:val="24"/>
              </w:rPr>
              <w:t>Credit Rollover</w:t>
            </w:r>
          </w:p>
        </w:tc>
        <w:tc>
          <w:tcPr>
            <w:tcW w:w="4590" w:type="dxa"/>
          </w:tcPr>
          <w:p w14:paraId="202C009F" w14:textId="4DB86905" w:rsidR="000F1711" w:rsidRPr="00572B14" w:rsidRDefault="30639465" w:rsidP="000F1711">
            <w:pPr>
              <w:spacing w:before="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2B14">
              <w:rPr>
                <w:rFonts w:ascii="Arial" w:hAnsi="Arial" w:cs="Arial"/>
              </w:rPr>
              <w:t xml:space="preserve">If a customer's generation credit balance is </w:t>
            </w:r>
            <w:r w:rsidRPr="00572B14">
              <w:rPr>
                <w:rFonts w:ascii="Arial" w:hAnsi="Arial" w:cs="Arial"/>
                <w:b/>
                <w:bCs/>
              </w:rPr>
              <w:t>less than $100</w:t>
            </w:r>
            <w:r w:rsidRPr="00572B14">
              <w:rPr>
                <w:rFonts w:ascii="Arial" w:hAnsi="Arial" w:cs="Arial"/>
              </w:rPr>
              <w:t xml:space="preserve"> at the time of cash out, those credits will </w:t>
            </w:r>
            <w:r w:rsidR="006673D5" w:rsidRPr="00572B14">
              <w:rPr>
                <w:rFonts w:ascii="Arial" w:hAnsi="Arial" w:cs="Arial"/>
              </w:rPr>
              <w:t xml:space="preserve">remain on their electric </w:t>
            </w:r>
            <w:r w:rsidR="006673D5" w:rsidRPr="7FA8D00E">
              <w:rPr>
                <w:rFonts w:ascii="Arial" w:hAnsi="Arial" w:cs="Arial"/>
              </w:rPr>
              <w:t>bill</w:t>
            </w:r>
            <w:r w:rsidR="006673D5" w:rsidRPr="00572B14">
              <w:rPr>
                <w:rFonts w:ascii="Arial" w:hAnsi="Arial" w:cs="Arial"/>
              </w:rPr>
              <w:t>.</w:t>
            </w:r>
            <w:r w:rsidRPr="00572B14">
              <w:rPr>
                <w:rFonts w:ascii="Arial" w:hAnsi="Arial" w:cs="Arial"/>
              </w:rPr>
              <w:t xml:space="preserve"> </w:t>
            </w:r>
          </w:p>
          <w:p w14:paraId="53209061" w14:textId="3CB21439" w:rsidR="000F1711" w:rsidRPr="00572B14" w:rsidRDefault="30639465" w:rsidP="000F171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2B14">
              <w:rPr>
                <w:rFonts w:ascii="Arial" w:hAnsi="Arial" w:cs="Arial"/>
              </w:rPr>
              <w:t xml:space="preserve">If the generation credit balance is </w:t>
            </w:r>
            <w:r w:rsidRPr="00572B14">
              <w:rPr>
                <w:rFonts w:ascii="Arial" w:hAnsi="Arial" w:cs="Arial"/>
                <w:b/>
                <w:bCs/>
              </w:rPr>
              <w:t>more than $5,000</w:t>
            </w:r>
            <w:r w:rsidRPr="00572B14">
              <w:rPr>
                <w:rFonts w:ascii="Arial" w:hAnsi="Arial" w:cs="Arial"/>
              </w:rPr>
              <w:t xml:space="preserve"> at the time of cash out, $5,000 will be cashed out, and the remaining credits </w:t>
            </w:r>
            <w:r w:rsidR="006673D5" w:rsidRPr="00572B14">
              <w:rPr>
                <w:rFonts w:ascii="Arial" w:hAnsi="Arial" w:cs="Arial"/>
              </w:rPr>
              <w:t xml:space="preserve">will remain on </w:t>
            </w:r>
            <w:r w:rsidR="00572B14" w:rsidRPr="00572B14">
              <w:rPr>
                <w:rFonts w:ascii="Arial" w:hAnsi="Arial" w:cs="Arial"/>
              </w:rPr>
              <w:t xml:space="preserve">subsequent electric bills. </w:t>
            </w:r>
          </w:p>
        </w:tc>
        <w:tc>
          <w:tcPr>
            <w:tcW w:w="4590" w:type="dxa"/>
          </w:tcPr>
          <w:p w14:paraId="234FB10E" w14:textId="77777777" w:rsidR="000F1711" w:rsidRPr="00572B14" w:rsidRDefault="000F1711" w:rsidP="000F171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2B14">
              <w:rPr>
                <w:rFonts w:ascii="Arial" w:hAnsi="Arial" w:cs="Arial"/>
              </w:rPr>
              <w:t xml:space="preserve">Credit rollover is the default payout option for PG&amp;E generation customers. Cash </w:t>
            </w:r>
            <w:proofErr w:type="gramStart"/>
            <w:r w:rsidRPr="00572B14">
              <w:rPr>
                <w:rFonts w:ascii="Arial" w:hAnsi="Arial" w:cs="Arial"/>
              </w:rPr>
              <w:t>payout</w:t>
            </w:r>
            <w:proofErr w:type="gramEnd"/>
            <w:r w:rsidRPr="00572B14">
              <w:rPr>
                <w:rFonts w:ascii="Arial" w:hAnsi="Arial" w:cs="Arial"/>
              </w:rPr>
              <w:t xml:space="preserve"> is available on request only.</w:t>
            </w:r>
          </w:p>
        </w:tc>
      </w:tr>
    </w:tbl>
    <w:p w14:paraId="4B1F0487" w14:textId="77777777" w:rsidR="00BC6D05" w:rsidRPr="0048266D" w:rsidRDefault="00BC6D05" w:rsidP="00572B14"/>
    <w:sectPr w:rsidR="00BC6D05" w:rsidRPr="0048266D" w:rsidSect="000F1711">
      <w:headerReference w:type="default" r:id="rId9"/>
      <w:footerReference w:type="default" r:id="rId10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80BA2" w14:textId="77777777" w:rsidR="00D8776D" w:rsidRDefault="00D8776D" w:rsidP="00BC6D05">
      <w:pPr>
        <w:spacing w:before="0"/>
      </w:pPr>
      <w:r>
        <w:separator/>
      </w:r>
    </w:p>
  </w:endnote>
  <w:endnote w:type="continuationSeparator" w:id="0">
    <w:p w14:paraId="2C9A7495" w14:textId="77777777" w:rsidR="00D8776D" w:rsidRDefault="00D8776D" w:rsidP="00BC6D0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20424" w14:textId="030DA9D3" w:rsidR="00E91205" w:rsidRPr="003A781E" w:rsidRDefault="008C1B35" w:rsidP="00EC70FE">
    <w:pPr>
      <w:pStyle w:val="Footer"/>
      <w:spacing w:after="8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RCEA and PG&amp;E </w:t>
    </w:r>
    <w:r w:rsidR="001B1615" w:rsidRPr="003A781E">
      <w:rPr>
        <w:rFonts w:ascii="Arial" w:hAnsi="Arial" w:cs="Arial"/>
        <w:sz w:val="20"/>
        <w:szCs w:val="20"/>
      </w:rPr>
      <w:t>Solar Account Comparison</w:t>
    </w:r>
  </w:p>
  <w:p w14:paraId="6FDAB837" w14:textId="03503D7E" w:rsidR="00E91205" w:rsidRPr="003A781E" w:rsidRDefault="00E91205">
    <w:pPr>
      <w:pStyle w:val="Footer"/>
      <w:rPr>
        <w:rFonts w:ascii="Arial" w:hAnsi="Arial" w:cs="Arial"/>
        <w:sz w:val="20"/>
        <w:szCs w:val="20"/>
      </w:rPr>
    </w:pPr>
    <w:r w:rsidRPr="003A781E">
      <w:rPr>
        <w:rFonts w:ascii="Arial" w:hAnsi="Arial" w:cs="Arial"/>
        <w:sz w:val="20"/>
        <w:szCs w:val="20"/>
      </w:rPr>
      <w:t>Updated Ju</w:t>
    </w:r>
    <w:r w:rsidR="00921782">
      <w:rPr>
        <w:rFonts w:ascii="Arial" w:hAnsi="Arial" w:cs="Arial"/>
        <w:sz w:val="20"/>
        <w:szCs w:val="20"/>
      </w:rPr>
      <w:t>ly</w:t>
    </w:r>
    <w:r w:rsidRPr="003A781E">
      <w:rPr>
        <w:rFonts w:ascii="Arial" w:hAnsi="Arial" w:cs="Arial"/>
        <w:sz w:val="20"/>
        <w:szCs w:val="20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690A4" w14:textId="77777777" w:rsidR="00D8776D" w:rsidRDefault="00D8776D" w:rsidP="00BC6D05">
      <w:pPr>
        <w:spacing w:before="0"/>
      </w:pPr>
      <w:r>
        <w:separator/>
      </w:r>
    </w:p>
  </w:footnote>
  <w:footnote w:type="continuationSeparator" w:id="0">
    <w:p w14:paraId="7D9F8070" w14:textId="77777777" w:rsidR="00D8776D" w:rsidRDefault="00D8776D" w:rsidP="00BC6D0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DE246" w14:textId="1A7CE71E" w:rsidR="00E952C7" w:rsidRDefault="00BC6D05">
    <w:pPr>
      <w:pStyle w:val="Header"/>
    </w:pPr>
    <w:r>
      <w:rPr>
        <w:noProof/>
        <w14:ligatures w14:val="standardContextual"/>
      </w:rPr>
      <w:drawing>
        <wp:inline distT="0" distB="0" distL="0" distR="0" wp14:anchorId="1F3883B8" wp14:editId="126D0F50">
          <wp:extent cx="3267986" cy="735297"/>
          <wp:effectExtent l="0" t="0" r="0" b="8255"/>
          <wp:docPr id="449811635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811635" name="Graphic 44981163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962" cy="743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AD"/>
    <w:rsid w:val="00047C9B"/>
    <w:rsid w:val="000F1711"/>
    <w:rsid w:val="00107DDC"/>
    <w:rsid w:val="00110C2B"/>
    <w:rsid w:val="00111CC6"/>
    <w:rsid w:val="00176D6B"/>
    <w:rsid w:val="001939AA"/>
    <w:rsid w:val="001A68AE"/>
    <w:rsid w:val="001B0BA9"/>
    <w:rsid w:val="001B1615"/>
    <w:rsid w:val="001E6010"/>
    <w:rsid w:val="00247223"/>
    <w:rsid w:val="00296562"/>
    <w:rsid w:val="002A660E"/>
    <w:rsid w:val="002D6C25"/>
    <w:rsid w:val="00307296"/>
    <w:rsid w:val="0032620F"/>
    <w:rsid w:val="00332922"/>
    <w:rsid w:val="0034100A"/>
    <w:rsid w:val="00346563"/>
    <w:rsid w:val="003636F2"/>
    <w:rsid w:val="003957AD"/>
    <w:rsid w:val="003A781E"/>
    <w:rsid w:val="003B01D2"/>
    <w:rsid w:val="0048266D"/>
    <w:rsid w:val="00487775"/>
    <w:rsid w:val="004E40A9"/>
    <w:rsid w:val="00572B14"/>
    <w:rsid w:val="00595406"/>
    <w:rsid w:val="005C6093"/>
    <w:rsid w:val="005D7934"/>
    <w:rsid w:val="00607F79"/>
    <w:rsid w:val="00661651"/>
    <w:rsid w:val="006673D5"/>
    <w:rsid w:val="00673541"/>
    <w:rsid w:val="006A51F4"/>
    <w:rsid w:val="006E52D2"/>
    <w:rsid w:val="00715680"/>
    <w:rsid w:val="007451B8"/>
    <w:rsid w:val="0076551D"/>
    <w:rsid w:val="00794571"/>
    <w:rsid w:val="007A45A0"/>
    <w:rsid w:val="007A7BB3"/>
    <w:rsid w:val="00822F84"/>
    <w:rsid w:val="00857CCA"/>
    <w:rsid w:val="008855CF"/>
    <w:rsid w:val="0089138B"/>
    <w:rsid w:val="008A44B4"/>
    <w:rsid w:val="008C1B35"/>
    <w:rsid w:val="008C343C"/>
    <w:rsid w:val="00916AB1"/>
    <w:rsid w:val="00921782"/>
    <w:rsid w:val="009257E7"/>
    <w:rsid w:val="009700E3"/>
    <w:rsid w:val="00986239"/>
    <w:rsid w:val="0099385C"/>
    <w:rsid w:val="009967FA"/>
    <w:rsid w:val="009A2AF6"/>
    <w:rsid w:val="009B764B"/>
    <w:rsid w:val="00A06EB4"/>
    <w:rsid w:val="00A21619"/>
    <w:rsid w:val="00A249CC"/>
    <w:rsid w:val="00A32444"/>
    <w:rsid w:val="00A417E6"/>
    <w:rsid w:val="00AB0F44"/>
    <w:rsid w:val="00AE44B2"/>
    <w:rsid w:val="00B16175"/>
    <w:rsid w:val="00B2620F"/>
    <w:rsid w:val="00BB27FD"/>
    <w:rsid w:val="00BB535A"/>
    <w:rsid w:val="00BC6D05"/>
    <w:rsid w:val="00BE6B12"/>
    <w:rsid w:val="00C54A15"/>
    <w:rsid w:val="00C651CA"/>
    <w:rsid w:val="00C96C3E"/>
    <w:rsid w:val="00CC31A7"/>
    <w:rsid w:val="00D222EC"/>
    <w:rsid w:val="00D362A6"/>
    <w:rsid w:val="00D8776D"/>
    <w:rsid w:val="00DB7C90"/>
    <w:rsid w:val="00E13D4B"/>
    <w:rsid w:val="00E25A92"/>
    <w:rsid w:val="00E34EF4"/>
    <w:rsid w:val="00E91205"/>
    <w:rsid w:val="00E952C7"/>
    <w:rsid w:val="00EC70FE"/>
    <w:rsid w:val="00ED7C94"/>
    <w:rsid w:val="00F01FD2"/>
    <w:rsid w:val="00F71410"/>
    <w:rsid w:val="00F91E4F"/>
    <w:rsid w:val="00F96058"/>
    <w:rsid w:val="02F3C27C"/>
    <w:rsid w:val="0EDDCED1"/>
    <w:rsid w:val="11D1E4D7"/>
    <w:rsid w:val="1F118F7D"/>
    <w:rsid w:val="24D1E966"/>
    <w:rsid w:val="24D6A7F9"/>
    <w:rsid w:val="25918170"/>
    <w:rsid w:val="28B7AD72"/>
    <w:rsid w:val="2C41372E"/>
    <w:rsid w:val="30639465"/>
    <w:rsid w:val="3520C64B"/>
    <w:rsid w:val="4D1AD38A"/>
    <w:rsid w:val="50C8FEC2"/>
    <w:rsid w:val="7237830D"/>
    <w:rsid w:val="77EA4500"/>
    <w:rsid w:val="7DDDF9BC"/>
    <w:rsid w:val="7FA8D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93A02"/>
  <w15:chartTrackingRefBased/>
  <w15:docId w15:val="{50BBA66B-C8F5-48CD-B49F-8E361420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66D"/>
    <w:pPr>
      <w:spacing w:before="240"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175"/>
    <w:pPr>
      <w:pBdr>
        <w:bottom w:val="single" w:sz="12" w:space="1" w:color="auto"/>
      </w:pBdr>
      <w:spacing w:before="0" w:after="200"/>
      <w:outlineLvl w:val="0"/>
    </w:pPr>
    <w:rPr>
      <w:rFonts w:ascii="Aptos" w:eastAsiaTheme="majorEastAsia" w:hAnsi="Aptos" w:cs="Arial"/>
      <w:b/>
      <w:bCs/>
      <w:color w:val="003C79"/>
      <w:spacing w:val="-10"/>
      <w:kern w:val="28"/>
      <w:sz w:val="64"/>
      <w:szCs w:val="64"/>
    </w:rPr>
  </w:style>
  <w:style w:type="paragraph" w:styleId="Heading2">
    <w:name w:val="heading 2"/>
    <w:basedOn w:val="Normal"/>
    <w:link w:val="Heading2Char"/>
    <w:uiPriority w:val="9"/>
    <w:qFormat/>
    <w:rsid w:val="00B16175"/>
    <w:pPr>
      <w:spacing w:before="0" w:after="200"/>
      <w:outlineLvl w:val="1"/>
    </w:pPr>
    <w:rPr>
      <w:rFonts w:ascii="Aptos" w:eastAsiaTheme="majorEastAsia" w:hAnsi="Aptos" w:cs="Arial"/>
      <w:b/>
      <w:bCs/>
      <w:color w:val="003C79"/>
      <w:spacing w:val="-10"/>
      <w:kern w:val="28"/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6175"/>
    <w:pPr>
      <w:spacing w:before="0" w:after="200"/>
      <w:outlineLvl w:val="2"/>
    </w:pPr>
    <w:rPr>
      <w:rFonts w:ascii="Aptos" w:eastAsiaTheme="majorEastAsia" w:hAnsi="Aptos" w:cs="Arial"/>
      <w:b/>
      <w:bCs/>
      <w:color w:val="003C79"/>
      <w:spacing w:val="-10"/>
      <w:kern w:val="28"/>
      <w:sz w:val="32"/>
      <w:szCs w:val="40"/>
    </w:rPr>
  </w:style>
  <w:style w:type="paragraph" w:styleId="Heading4">
    <w:name w:val="heading 4"/>
    <w:basedOn w:val="Normal"/>
    <w:link w:val="Heading4Char"/>
    <w:uiPriority w:val="9"/>
    <w:qFormat/>
    <w:rsid w:val="00B16175"/>
    <w:pPr>
      <w:spacing w:before="0" w:after="240"/>
      <w:outlineLvl w:val="3"/>
    </w:pPr>
    <w:rPr>
      <w:rFonts w:ascii="Aptos" w:eastAsiaTheme="majorEastAsia" w:hAnsi="Aptos" w:cs="Arial"/>
      <w:bCs/>
      <w:color w:val="003C79"/>
      <w:spacing w:val="-10"/>
      <w:kern w:val="28"/>
      <w:sz w:val="28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6175"/>
    <w:pPr>
      <w:spacing w:before="0" w:after="200"/>
      <w:outlineLvl w:val="4"/>
    </w:pPr>
    <w:rPr>
      <w:rFonts w:ascii="Aptos" w:eastAsiaTheme="majorEastAsia" w:hAnsi="Aptos" w:cs="Arial"/>
      <w:color w:val="003C79"/>
      <w:spacing w:val="-10"/>
      <w:kern w:val="28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7A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7A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7AD"/>
    <w:pPr>
      <w:keepNext/>
      <w:keepLines/>
      <w:spacing w:before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7AD"/>
    <w:pPr>
      <w:keepNext/>
      <w:keepLines/>
      <w:spacing w:before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175"/>
    <w:rPr>
      <w:rFonts w:ascii="Aptos" w:eastAsiaTheme="majorEastAsia" w:hAnsi="Aptos" w:cs="Arial"/>
      <w:b/>
      <w:bCs/>
      <w:color w:val="003C79"/>
      <w:spacing w:val="-10"/>
      <w:kern w:val="28"/>
      <w:sz w:val="64"/>
      <w:szCs w:val="6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16175"/>
    <w:rPr>
      <w:rFonts w:ascii="Aptos" w:eastAsiaTheme="majorEastAsia" w:hAnsi="Aptos" w:cs="Arial"/>
      <w:b/>
      <w:bCs/>
      <w:color w:val="003C79"/>
      <w:spacing w:val="-10"/>
      <w:kern w:val="28"/>
      <w:sz w:val="52"/>
      <w:szCs w:val="5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16175"/>
    <w:rPr>
      <w:rFonts w:ascii="Aptos" w:eastAsiaTheme="majorEastAsia" w:hAnsi="Aptos" w:cs="Arial"/>
      <w:b/>
      <w:bCs/>
      <w:color w:val="003C79"/>
      <w:spacing w:val="-10"/>
      <w:kern w:val="28"/>
      <w:sz w:val="32"/>
      <w:szCs w:val="4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B16175"/>
    <w:rPr>
      <w:rFonts w:ascii="Aptos" w:eastAsiaTheme="majorEastAsia" w:hAnsi="Aptos" w:cs="Arial"/>
      <w:bCs/>
      <w:color w:val="003C79"/>
      <w:spacing w:val="-10"/>
      <w:kern w:val="28"/>
      <w:sz w:val="28"/>
      <w:szCs w:val="3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B16175"/>
    <w:rPr>
      <w:rFonts w:ascii="Aptos" w:eastAsiaTheme="majorEastAsia" w:hAnsi="Aptos" w:cs="Arial"/>
      <w:color w:val="003C79"/>
      <w:spacing w:val="-10"/>
      <w:kern w:val="28"/>
      <w:sz w:val="28"/>
      <w:szCs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7AD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5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7AD"/>
    <w:pPr>
      <w:numPr>
        <w:ilvl w:val="1"/>
      </w:numPr>
      <w:spacing w:before="0"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5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7A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5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7AD"/>
    <w:pPr>
      <w:spacing w:before="0"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5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7AD"/>
    <w:rPr>
      <w:b/>
      <w:bCs/>
      <w:smallCaps/>
      <w:color w:val="0F4761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3636F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C6D05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C6D05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6D05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C6D05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B16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16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161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6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61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714A59118B4993831B18486CDDE1" ma:contentTypeVersion="14" ma:contentTypeDescription="Create a new document." ma:contentTypeScope="" ma:versionID="4fe79fa6e9fa63965c1a86ffa00c13ff">
  <xsd:schema xmlns:xsd="http://www.w3.org/2001/XMLSchema" xmlns:xs="http://www.w3.org/2001/XMLSchema" xmlns:p="http://schemas.microsoft.com/office/2006/metadata/properties" xmlns:ns2="bcf8096f-5307-4f65-a78d-1a1ed10ef03e" xmlns:ns3="cb0feea8-145c-4789-b758-a4de532841ef" targetNamespace="http://schemas.microsoft.com/office/2006/metadata/properties" ma:root="true" ma:fieldsID="97fd97e6f3fa8291b0b623e3700e42b6" ns2:_="" ns3:_="">
    <xsd:import namespace="bcf8096f-5307-4f65-a78d-1a1ed10ef03e"/>
    <xsd:import namespace="cb0feea8-145c-4789-b758-a4de532841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8096f-5307-4f65-a78d-1a1ed10ef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947297-bd03-4d63-ad67-021fe717de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feea8-145c-4789-b758-a4de532841e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74cfc73-2227-4aef-a4c6-469f6201e20b}" ma:internalName="TaxCatchAll" ma:showField="CatchAllData" ma:web="cb0feea8-145c-4789-b758-a4de532841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feea8-145c-4789-b758-a4de532841ef" xsi:nil="true"/>
    <lcf76f155ced4ddcb4097134ff3c332f xmlns="bcf8096f-5307-4f65-a78d-1a1ed10ef03e">
      <Terms xmlns="http://schemas.microsoft.com/office/infopath/2007/PartnerControls"/>
    </lcf76f155ced4ddcb4097134ff3c332f>
    <Image xmlns="bcf8096f-5307-4f65-a78d-1a1ed10ef03e" xsi:nil="true"/>
  </documentManagement>
</p:properties>
</file>

<file path=customXml/itemProps1.xml><?xml version="1.0" encoding="utf-8"?>
<ds:datastoreItem xmlns:ds="http://schemas.openxmlformats.org/officeDocument/2006/customXml" ds:itemID="{9E3ECC94-0E91-4C2D-961D-5B185EBD6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8096f-5307-4f65-a78d-1a1ed10ef03e"/>
    <ds:schemaRef ds:uri="cb0feea8-145c-4789-b758-a4de53284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A2BC6-CCE3-4185-888E-3425C42B9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9EA10-EEDC-45DF-AA67-84CC27B6CB7B}">
  <ds:schemaRefs>
    <ds:schemaRef ds:uri="http://schemas.microsoft.com/office/2006/metadata/properties"/>
    <ds:schemaRef ds:uri="http://schemas.microsoft.com/office/infopath/2007/PartnerControls"/>
    <ds:schemaRef ds:uri="cb0feea8-145c-4789-b758-a4de532841ef"/>
    <ds:schemaRef ds:uri="bcf8096f-5307-4f65-a78d-1a1ed10ef0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Watson</dc:creator>
  <cp:keywords/>
  <dc:description/>
  <cp:lastModifiedBy>Dani Watson</cp:lastModifiedBy>
  <cp:revision>8</cp:revision>
  <dcterms:created xsi:type="dcterms:W3CDTF">2025-07-08T20:12:00Z</dcterms:created>
  <dcterms:modified xsi:type="dcterms:W3CDTF">2025-07-08T20:20:00Z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0x01010076D4714A59118B4993831B18486CDDE1</vt:lpwstr>
  </property>
  <property fmtid="{D5CDD505-2E9C-101B-9397-08002B2CF9AE}" pid="3" name="MediaServiceImageTags">
    <vt:lpwstr/>
  </property>
</Properties>
</file>