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250EF" w14:textId="6978D2AD" w:rsidR="00E404D1" w:rsidRPr="00922442" w:rsidRDefault="00E404D1">
      <w:pPr>
        <w:rPr>
          <w:b/>
          <w:bCs/>
        </w:rPr>
      </w:pPr>
      <w:r w:rsidRPr="00922442">
        <w:rPr>
          <w:b/>
          <w:bCs/>
        </w:rPr>
        <w:t xml:space="preserve">RCEA Rate Change – Director Packet </w:t>
      </w:r>
    </w:p>
    <w:p w14:paraId="56FF63E1" w14:textId="04B5E1FB" w:rsidR="00E404D1" w:rsidRPr="00922442" w:rsidRDefault="00E404D1">
      <w:pPr>
        <w:rPr>
          <w:i/>
          <w:iCs/>
        </w:rPr>
      </w:pPr>
      <w:r w:rsidRPr="00922442">
        <w:rPr>
          <w:i/>
          <w:iCs/>
        </w:rPr>
        <w:t>Background</w:t>
      </w:r>
    </w:p>
    <w:p w14:paraId="50AAFDA0" w14:textId="60A2DCFB" w:rsidR="00E404D1" w:rsidRDefault="00E404D1" w:rsidP="00E404D1">
      <w:pPr>
        <w:pStyle w:val="ListParagraph"/>
        <w:numPr>
          <w:ilvl w:val="0"/>
          <w:numId w:val="1"/>
        </w:numPr>
      </w:pPr>
      <w:r>
        <w:t xml:space="preserve">There are two major parts of electricity service: </w:t>
      </w:r>
      <w:r w:rsidR="009B486E">
        <w:t xml:space="preserve">generation and </w:t>
      </w:r>
      <w:r>
        <w:t>distribution.</w:t>
      </w:r>
    </w:p>
    <w:p w14:paraId="2C43FD59" w14:textId="2982F55A" w:rsidR="00847327" w:rsidRDefault="00847327" w:rsidP="00E404D1">
      <w:pPr>
        <w:pStyle w:val="ListParagraph"/>
        <w:numPr>
          <w:ilvl w:val="1"/>
          <w:numId w:val="1"/>
        </w:numPr>
      </w:pPr>
      <w:r w:rsidRPr="008644F7">
        <w:rPr>
          <w:u w:val="single"/>
        </w:rPr>
        <w:t>Generation</w:t>
      </w:r>
      <w:r>
        <w:t xml:space="preserve"> is the buying and selling of electricity. With the launch of our Community Choice Energy (CCE) program in 2017, </w:t>
      </w:r>
      <w:r w:rsidR="00E404D1">
        <w:t>RCEA took over the generation portion of electricity service</w:t>
      </w:r>
      <w:r>
        <w:t xml:space="preserve"> for most Humboldt County customers.</w:t>
      </w:r>
      <w:r w:rsidR="00E404D1">
        <w:t xml:space="preserve"> </w:t>
      </w:r>
      <w:r>
        <w:t>Those who opted out of RCEA generation service are called “bundled customers.” They pay PG&amp;E for generation.</w:t>
      </w:r>
    </w:p>
    <w:p w14:paraId="23BE1FAD" w14:textId="5C4BA86B" w:rsidR="009B486E" w:rsidRDefault="001920BE" w:rsidP="005F543C">
      <w:pPr>
        <w:pStyle w:val="ListParagraph"/>
        <w:numPr>
          <w:ilvl w:val="1"/>
          <w:numId w:val="1"/>
        </w:numPr>
      </w:pPr>
      <w:r w:rsidRPr="008644F7">
        <w:rPr>
          <w:u w:val="single"/>
        </w:rPr>
        <w:t>Distribution</w:t>
      </w:r>
      <w:r>
        <w:t xml:space="preserve"> is managing the physical infrastructure to move energy where it needs to </w:t>
      </w:r>
      <w:r w:rsidR="00847327">
        <w:t>go</w:t>
      </w:r>
      <w:r>
        <w:t>.</w:t>
      </w:r>
      <w:r w:rsidR="000D149C">
        <w:t xml:space="preserve"> </w:t>
      </w:r>
      <w:r w:rsidR="00E404D1">
        <w:t xml:space="preserve">PG&amp;E provides distribution service to </w:t>
      </w:r>
      <w:r w:rsidR="00847327">
        <w:t xml:space="preserve">RCEA and bundled </w:t>
      </w:r>
      <w:r w:rsidR="00E404D1">
        <w:t xml:space="preserve">customers. </w:t>
      </w:r>
      <w:r w:rsidR="00847327">
        <w:t xml:space="preserve">PG&amp;E </w:t>
      </w:r>
      <w:r>
        <w:t>also manage</w:t>
      </w:r>
      <w:r w:rsidR="00847327">
        <w:t>s</w:t>
      </w:r>
      <w:r>
        <w:t xml:space="preserve"> metering and billing</w:t>
      </w:r>
      <w:r w:rsidR="003C1049">
        <w:t xml:space="preserve"> for both bundled and unbundled customers</w:t>
      </w:r>
      <w:r>
        <w:t xml:space="preserve">. </w:t>
      </w:r>
    </w:p>
    <w:p w14:paraId="3D9800C0" w14:textId="55024AF3" w:rsidR="00897E53" w:rsidRDefault="00D428E9" w:rsidP="00D428E9">
      <w:pPr>
        <w:pStyle w:val="ListParagraph"/>
        <w:numPr>
          <w:ilvl w:val="0"/>
          <w:numId w:val="1"/>
        </w:numPr>
      </w:pPr>
      <w:r>
        <w:t xml:space="preserve">RCEA sets </w:t>
      </w:r>
      <w:r w:rsidR="00751512">
        <w:t xml:space="preserve">our customer </w:t>
      </w:r>
      <w:r>
        <w:t>generation rate</w:t>
      </w:r>
      <w:r w:rsidR="00751512">
        <w:t>s</w:t>
      </w:r>
      <w:r w:rsidR="009B486E">
        <w:t xml:space="preserve"> </w:t>
      </w:r>
      <w:r w:rsidR="00897E53">
        <w:t xml:space="preserve">to match PG&amp;E’s generation rates </w:t>
      </w:r>
      <w:r w:rsidR="009B486E">
        <w:t>for their bundled customers</w:t>
      </w:r>
      <w:r w:rsidR="00847327">
        <w:t>, minus</w:t>
      </w:r>
      <w:r w:rsidR="009B486E">
        <w:t xml:space="preserve"> </w:t>
      </w:r>
      <w:r w:rsidR="00897E53">
        <w:t>a percentage discount</w:t>
      </w:r>
      <w:r w:rsidR="008644F7">
        <w:t>,</w:t>
      </w:r>
      <w:r w:rsidR="00897E53">
        <w:t xml:space="preserve"> </w:t>
      </w:r>
      <w:proofErr w:type="gramStart"/>
      <w:r w:rsidR="00897E53">
        <w:t>taking into account</w:t>
      </w:r>
      <w:proofErr w:type="gramEnd"/>
      <w:r w:rsidR="00541A74">
        <w:t xml:space="preserve"> additional</w:t>
      </w:r>
      <w:r w:rsidR="00897E53">
        <w:t xml:space="preserve"> charges for customers that leave PG&amp;E’s service. </w:t>
      </w:r>
    </w:p>
    <w:p w14:paraId="512EB0BA" w14:textId="3552D8B6" w:rsidR="000506A4" w:rsidRDefault="000506A4" w:rsidP="000506A4">
      <w:pPr>
        <w:pStyle w:val="ListParagraph"/>
        <w:numPr>
          <w:ilvl w:val="1"/>
          <w:numId w:val="1"/>
        </w:numPr>
      </w:pPr>
      <w:r>
        <w:t xml:space="preserve">RCEA adjusts rates when PG&amp;E changes their generation rate to maintain the </w:t>
      </w:r>
      <w:r w:rsidR="009B486E">
        <w:t xml:space="preserve">same </w:t>
      </w:r>
      <w:r>
        <w:t xml:space="preserve">percentage discount. </w:t>
      </w:r>
    </w:p>
    <w:p w14:paraId="46508A2B" w14:textId="7296D1E5" w:rsidR="009B486E" w:rsidRDefault="009B486E" w:rsidP="000506A4">
      <w:pPr>
        <w:pStyle w:val="ListParagraph"/>
        <w:numPr>
          <w:ilvl w:val="1"/>
          <w:numId w:val="1"/>
        </w:numPr>
      </w:pPr>
      <w:r>
        <w:t xml:space="preserve">The Board </w:t>
      </w:r>
      <w:r w:rsidR="00751512">
        <w:t xml:space="preserve">voted </w:t>
      </w:r>
      <w:r>
        <w:t xml:space="preserve">to adjust the percentage discount a few times since </w:t>
      </w:r>
      <w:r w:rsidR="00751512">
        <w:t xml:space="preserve">the CCE </w:t>
      </w:r>
      <w:r>
        <w:t>program launch</w:t>
      </w:r>
      <w:r w:rsidR="00751512">
        <w:t>ed</w:t>
      </w:r>
      <w:r>
        <w:t xml:space="preserve"> due to changes in the program’s financial outlook – see timeline below.</w:t>
      </w:r>
    </w:p>
    <w:p w14:paraId="1994DEB8" w14:textId="4B5A7B93" w:rsidR="00897E53" w:rsidRPr="001920BE" w:rsidRDefault="00897E53" w:rsidP="00897E53">
      <w:pPr>
        <w:pStyle w:val="ListParagraph"/>
        <w:numPr>
          <w:ilvl w:val="1"/>
          <w:numId w:val="1"/>
        </w:numPr>
        <w:rPr>
          <w:b/>
          <w:bCs/>
        </w:rPr>
      </w:pPr>
      <w:r w:rsidRPr="001920BE">
        <w:rPr>
          <w:b/>
          <w:bCs/>
        </w:rPr>
        <w:t>RCEA’s rates have consistently been lower than PG&amp;E</w:t>
      </w:r>
      <w:r w:rsidR="00751512">
        <w:rPr>
          <w:b/>
          <w:bCs/>
        </w:rPr>
        <w:t>’s</w:t>
      </w:r>
      <w:r w:rsidRPr="001920BE">
        <w:rPr>
          <w:b/>
          <w:bCs/>
        </w:rPr>
        <w:t xml:space="preserve"> since </w:t>
      </w:r>
      <w:r w:rsidR="001920BE" w:rsidRPr="001920BE">
        <w:rPr>
          <w:b/>
          <w:bCs/>
        </w:rPr>
        <w:t>launching</w:t>
      </w:r>
      <w:r w:rsidRPr="001920BE">
        <w:rPr>
          <w:b/>
          <w:bCs/>
        </w:rPr>
        <w:t xml:space="preserve"> in 2017. </w:t>
      </w:r>
    </w:p>
    <w:p w14:paraId="5C7DC58E" w14:textId="16D2A7F1" w:rsidR="00897E53" w:rsidRDefault="00897E53" w:rsidP="00897E53">
      <w:pPr>
        <w:pStyle w:val="ListParagraph"/>
        <w:numPr>
          <w:ilvl w:val="1"/>
          <w:numId w:val="1"/>
        </w:numPr>
      </w:pPr>
      <w:r>
        <w:t xml:space="preserve">However, electricity rates have increased </w:t>
      </w:r>
      <w:r w:rsidR="00751512">
        <w:t>since 2017</w:t>
      </w:r>
      <w:r>
        <w:t xml:space="preserve">. While RCEA customers pay a bit less than if they </w:t>
      </w:r>
      <w:r w:rsidR="00751512">
        <w:t>bought PG&amp;E’s generation</w:t>
      </w:r>
      <w:r>
        <w:t xml:space="preserve">, </w:t>
      </w:r>
      <w:r w:rsidR="00751512">
        <w:t xml:space="preserve">RCEA customers’ overall </w:t>
      </w:r>
      <w:r>
        <w:t xml:space="preserve">bills </w:t>
      </w:r>
      <w:r w:rsidR="00751512">
        <w:t xml:space="preserve">have </w:t>
      </w:r>
      <w:r>
        <w:t xml:space="preserve">likely gone up. </w:t>
      </w:r>
    </w:p>
    <w:p w14:paraId="61A77171" w14:textId="5F0BD262" w:rsidR="001920BE" w:rsidRPr="00922442" w:rsidRDefault="001920BE" w:rsidP="001920BE">
      <w:pPr>
        <w:rPr>
          <w:i/>
          <w:iCs/>
        </w:rPr>
      </w:pPr>
      <w:r w:rsidRPr="00922442">
        <w:rPr>
          <w:i/>
          <w:iCs/>
        </w:rPr>
        <w:t xml:space="preserve">2021 Rate Changes </w:t>
      </w:r>
    </w:p>
    <w:p w14:paraId="3B0AF13B" w14:textId="2A81908F" w:rsidR="00A02C6B" w:rsidRDefault="00922442" w:rsidP="00922442">
      <w:pPr>
        <w:pStyle w:val="ListParagraph"/>
        <w:numPr>
          <w:ilvl w:val="0"/>
          <w:numId w:val="2"/>
        </w:numPr>
      </w:pPr>
      <w:r w:rsidRPr="00922442">
        <w:t xml:space="preserve">PG&amp;E is adjusting </w:t>
      </w:r>
      <w:r w:rsidR="003F240B">
        <w:t xml:space="preserve">both </w:t>
      </w:r>
      <w:r w:rsidRPr="00922442">
        <w:t xml:space="preserve">their </w:t>
      </w:r>
      <w:r w:rsidR="009B486E">
        <w:t xml:space="preserve">generation and distribution </w:t>
      </w:r>
      <w:r w:rsidRPr="00922442">
        <w:t xml:space="preserve">rates </w:t>
      </w:r>
      <w:r w:rsidR="003F240B">
        <w:t xml:space="preserve">on </w:t>
      </w:r>
      <w:r w:rsidRPr="00922442">
        <w:t>January 1, 2021</w:t>
      </w:r>
      <w:r w:rsidR="009B486E">
        <w:t>, with the generation portion set to decline</w:t>
      </w:r>
      <w:r w:rsidRPr="00922442">
        <w:t xml:space="preserve">. RCEA will adjust our rates to maintain the current 1% discount. </w:t>
      </w:r>
    </w:p>
    <w:p w14:paraId="6746205D" w14:textId="5F869350" w:rsidR="00922442" w:rsidRPr="00922442" w:rsidRDefault="00A02C6B" w:rsidP="00922442">
      <w:pPr>
        <w:pStyle w:val="ListParagraph"/>
        <w:numPr>
          <w:ilvl w:val="0"/>
          <w:numId w:val="2"/>
        </w:numPr>
      </w:pPr>
      <w:r>
        <w:t>While PG&amp;E is decreasing their generation rates, they are increasing their distribution rates significantly. Most customers will experience an increase in their total electricity bill.</w:t>
      </w:r>
    </w:p>
    <w:p w14:paraId="6392DFBA" w14:textId="77126F45" w:rsidR="001920BE" w:rsidRDefault="000506A4" w:rsidP="000506A4">
      <w:pPr>
        <w:pStyle w:val="ListParagraph"/>
        <w:numPr>
          <w:ilvl w:val="0"/>
          <w:numId w:val="2"/>
        </w:numPr>
      </w:pPr>
      <w:r>
        <w:t xml:space="preserve">At the December </w:t>
      </w:r>
      <w:r w:rsidR="003F240B">
        <w:t xml:space="preserve">2020 </w:t>
      </w:r>
      <w:r>
        <w:t xml:space="preserve">meeting, the Board </w:t>
      </w:r>
      <w:r w:rsidR="003F240B">
        <w:t xml:space="preserve">also voted </w:t>
      </w:r>
      <w:r>
        <w:t xml:space="preserve">to </w:t>
      </w:r>
      <w:r w:rsidR="003F240B">
        <w:t xml:space="preserve">change </w:t>
      </w:r>
      <w:r>
        <w:t>RCEA’s discount on PG&amp;E’s generation rate from 1% to 0.5%</w:t>
      </w:r>
      <w:r w:rsidR="009B486E">
        <w:t xml:space="preserve"> </w:t>
      </w:r>
      <w:r w:rsidR="003F240B">
        <w:t xml:space="preserve">due to the </w:t>
      </w:r>
      <w:r w:rsidR="009B486E">
        <w:t>negative financial outlook for our CCE program in 2021</w:t>
      </w:r>
      <w:r>
        <w:t>. RCEA’s Implementation Plan</w:t>
      </w:r>
      <w:r w:rsidR="003F240B">
        <w:t xml:space="preserve"> requires a 60-day customer comment period for </w:t>
      </w:r>
      <w:r>
        <w:t>a</w:t>
      </w:r>
      <w:r w:rsidR="003F240B">
        <w:t>ny</w:t>
      </w:r>
      <w:r>
        <w:t xml:space="preserve"> </w:t>
      </w:r>
      <w:r w:rsidR="003F240B">
        <w:t xml:space="preserve">customer discount </w:t>
      </w:r>
      <w:r>
        <w:t xml:space="preserve">change before it can be implemented. </w:t>
      </w:r>
    </w:p>
    <w:p w14:paraId="7B073B76" w14:textId="4FA7C04B" w:rsidR="00922442" w:rsidRDefault="00922442" w:rsidP="00922442">
      <w:pPr>
        <w:pStyle w:val="ListParagraph"/>
        <w:numPr>
          <w:ilvl w:val="1"/>
          <w:numId w:val="2"/>
        </w:numPr>
      </w:pPr>
      <w:r>
        <w:t xml:space="preserve">RCEA could shift to </w:t>
      </w:r>
      <w:r w:rsidR="00A02C6B">
        <w:t xml:space="preserve">the </w:t>
      </w:r>
      <w:r>
        <w:t>0.5%</w:t>
      </w:r>
      <w:r w:rsidR="00541A74">
        <w:t xml:space="preserve"> discount</w:t>
      </w:r>
      <w:r>
        <w:t xml:space="preserve"> as </w:t>
      </w:r>
      <w:r w:rsidR="00A02C6B">
        <w:t xml:space="preserve">early </w:t>
      </w:r>
      <w:r>
        <w:t>as mid-</w:t>
      </w:r>
      <w:proofErr w:type="gramStart"/>
      <w:r>
        <w:t>February</w:t>
      </w:r>
      <w:r w:rsidR="009B486E">
        <w:t>,</w:t>
      </w:r>
      <w:r>
        <w:t xml:space="preserve"> but</w:t>
      </w:r>
      <w:proofErr w:type="gramEnd"/>
      <w:r>
        <w:t xml:space="preserve"> </w:t>
      </w:r>
      <w:r w:rsidR="00A02C6B">
        <w:t xml:space="preserve">will wait until mi-March to change the percentage discount to allow </w:t>
      </w:r>
      <w:r>
        <w:t xml:space="preserve">two months between </w:t>
      </w:r>
      <w:r w:rsidR="00A02C6B">
        <w:t xml:space="preserve">PG&amp;E’s and RCEA’s </w:t>
      </w:r>
      <w:r w:rsidR="008A4863">
        <w:t>rate changes</w:t>
      </w:r>
      <w:r w:rsidR="00A02C6B">
        <w:t>.</w:t>
      </w:r>
      <w:r w:rsidR="008A4863">
        <w:t xml:space="preserve"> </w:t>
      </w:r>
      <w:r w:rsidR="00A02C6B">
        <w:t xml:space="preserve">This is </w:t>
      </w:r>
      <w:r>
        <w:t xml:space="preserve">to eliminate possible billing </w:t>
      </w:r>
      <w:r w:rsidR="005F543C">
        <w:t xml:space="preserve">confusion </w:t>
      </w:r>
      <w:r>
        <w:t xml:space="preserve">for customers. </w:t>
      </w:r>
    </w:p>
    <w:p w14:paraId="57AEE276" w14:textId="77777777" w:rsidR="00562F22" w:rsidRPr="009F34AF" w:rsidRDefault="00897E53" w:rsidP="009F34AF">
      <w:pPr>
        <w:rPr>
          <w:i/>
          <w:iCs/>
        </w:rPr>
      </w:pPr>
      <w:r w:rsidRPr="009F34AF">
        <w:rPr>
          <w:i/>
          <w:iCs/>
        </w:rPr>
        <w:t xml:space="preserve">RCEA Generation Percentage Discount </w:t>
      </w:r>
      <w:r w:rsidR="001920BE" w:rsidRPr="009F34AF">
        <w:rPr>
          <w:i/>
          <w:iCs/>
        </w:rPr>
        <w:t>Since CCE Launch</w:t>
      </w:r>
    </w:p>
    <w:p w14:paraId="136D2AD7" w14:textId="14272CF1" w:rsidR="00562F22" w:rsidRDefault="00562F22" w:rsidP="0092244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DF3D678" wp14:editId="570983D4">
            <wp:extent cx="59436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5249" b="10113"/>
                    <a:stretch/>
                  </pic:blipFill>
                  <pic:spPr bwMode="auto"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B83F9" w14:textId="28B70E6B" w:rsidR="00562F22" w:rsidRPr="00562F22" w:rsidRDefault="00562F22" w:rsidP="00562F22">
      <w:pPr>
        <w:rPr>
          <w:i/>
          <w:iCs/>
        </w:rPr>
      </w:pPr>
      <w:r w:rsidRPr="00562F22">
        <w:rPr>
          <w:i/>
          <w:iCs/>
        </w:rPr>
        <w:lastRenderedPageBreak/>
        <w:t>Resources</w:t>
      </w:r>
    </w:p>
    <w:p w14:paraId="2201FF67" w14:textId="2880DEBA" w:rsidR="00562F22" w:rsidRDefault="00562F22" w:rsidP="00562F22">
      <w:pPr>
        <w:pStyle w:val="ListParagraph"/>
        <w:numPr>
          <w:ilvl w:val="0"/>
          <w:numId w:val="3"/>
        </w:numPr>
      </w:pPr>
      <w:r w:rsidRPr="009F34AF">
        <w:rPr>
          <w:u w:val="single"/>
        </w:rPr>
        <w:t>Understanding your bill</w:t>
      </w:r>
      <w:r w:rsidRPr="00562F22">
        <w:t xml:space="preserve"> </w:t>
      </w:r>
      <w:r w:rsidR="00A02C6B">
        <w:t xml:space="preserve">shows </w:t>
      </w:r>
      <w:r w:rsidRPr="00562F22">
        <w:t xml:space="preserve">how to find your </w:t>
      </w:r>
      <w:r w:rsidR="00A02C6B">
        <w:t xml:space="preserve">RCEA </w:t>
      </w:r>
      <w:r w:rsidRPr="00562F22">
        <w:t>savings on your PG&amp;E bill</w:t>
      </w:r>
      <w:r w:rsidR="009F34AF">
        <w:t xml:space="preserve">: </w:t>
      </w:r>
      <w:hyperlink r:id="rId7" w:history="1">
        <w:r w:rsidR="00201B1C" w:rsidRPr="005A019B">
          <w:rPr>
            <w:rStyle w:val="Hyperlink"/>
          </w:rPr>
          <w:t>https://redwoodenergy.org/community-choice-energy/residential/bills/</w:t>
        </w:r>
      </w:hyperlink>
      <w:r w:rsidR="00201B1C">
        <w:rPr>
          <w:rStyle w:val="Hyperlink"/>
          <w:u w:val="none"/>
        </w:rPr>
        <w:t xml:space="preserve">. </w:t>
      </w:r>
      <w:r w:rsidR="009B486E" w:rsidRPr="007B4009">
        <w:rPr>
          <w:rStyle w:val="Hyperlink"/>
          <w:color w:val="auto"/>
          <w:u w:val="none"/>
        </w:rPr>
        <w:t xml:space="preserve">(Staff are </w:t>
      </w:r>
      <w:r w:rsidR="00A02C6B">
        <w:rPr>
          <w:rStyle w:val="Hyperlink"/>
          <w:color w:val="auto"/>
          <w:u w:val="none"/>
        </w:rPr>
        <w:t xml:space="preserve">creating </w:t>
      </w:r>
      <w:r w:rsidR="009B486E" w:rsidRPr="007B4009">
        <w:rPr>
          <w:rStyle w:val="Hyperlink"/>
          <w:color w:val="auto"/>
          <w:u w:val="none"/>
        </w:rPr>
        <w:t>a video to make this information more accessible to customers</w:t>
      </w:r>
      <w:r w:rsidR="00A02C6B">
        <w:rPr>
          <w:rStyle w:val="Hyperlink"/>
          <w:color w:val="auto"/>
          <w:u w:val="none"/>
        </w:rPr>
        <w:t>.</w:t>
      </w:r>
      <w:r w:rsidR="009B486E" w:rsidRPr="007B4009">
        <w:rPr>
          <w:rStyle w:val="Hyperlink"/>
          <w:color w:val="auto"/>
          <w:u w:val="none"/>
        </w:rPr>
        <w:t>)</w:t>
      </w:r>
    </w:p>
    <w:p w14:paraId="62B384EB" w14:textId="72ED4568" w:rsidR="009F34AF" w:rsidRDefault="009F34AF" w:rsidP="009F34AF">
      <w:pPr>
        <w:pStyle w:val="ListParagraph"/>
        <w:numPr>
          <w:ilvl w:val="0"/>
          <w:numId w:val="3"/>
        </w:numPr>
      </w:pPr>
      <w:r w:rsidRPr="009F34AF">
        <w:rPr>
          <w:u w:val="single"/>
        </w:rPr>
        <w:t>Rates page</w:t>
      </w:r>
      <w:r>
        <w:t xml:space="preserve"> </w:t>
      </w:r>
      <w:r w:rsidR="00A02C6B">
        <w:t xml:space="preserve">shows </w:t>
      </w:r>
      <w:r>
        <w:t>RCEA’s rates</w:t>
      </w:r>
      <w:r w:rsidR="00A02C6B">
        <w:t xml:space="preserve">, </w:t>
      </w:r>
      <w:r>
        <w:t xml:space="preserve">including a template for calculating mobile home park rates: </w:t>
      </w:r>
      <w:hyperlink r:id="rId8" w:history="1">
        <w:r w:rsidRPr="005A019B">
          <w:rPr>
            <w:rStyle w:val="Hyperlink"/>
          </w:rPr>
          <w:t>https://redwoodenergy.org/community-choice-energy/residential/rates-residential-customers/</w:t>
        </w:r>
      </w:hyperlink>
      <w:r w:rsidR="00340227">
        <w:rPr>
          <w:rStyle w:val="Hyperlink"/>
          <w:u w:val="none"/>
        </w:rPr>
        <w:t>.</w:t>
      </w:r>
    </w:p>
    <w:p w14:paraId="20C54D83" w14:textId="2A18F318" w:rsidR="009F34AF" w:rsidRPr="00562F22" w:rsidRDefault="009F34AF" w:rsidP="009F34AF">
      <w:pPr>
        <w:pStyle w:val="ListParagraph"/>
        <w:numPr>
          <w:ilvl w:val="0"/>
          <w:numId w:val="3"/>
        </w:numPr>
      </w:pPr>
      <w:r w:rsidRPr="009F34AF">
        <w:rPr>
          <w:u w:val="single"/>
        </w:rPr>
        <w:t>Energy Efficiency and Management</w:t>
      </w:r>
      <w:r>
        <w:t xml:space="preserve"> RCEA offers an array of customer programs to reduce energy usage and manage cost:</w:t>
      </w:r>
      <w:r w:rsidRPr="009F34AF">
        <w:t xml:space="preserve"> </w:t>
      </w:r>
      <w:hyperlink r:id="rId9" w:history="1">
        <w:r w:rsidRPr="005A019B">
          <w:rPr>
            <w:rStyle w:val="Hyperlink"/>
          </w:rPr>
          <w:t>https://redwoodenergy.org/services/customerprograms/</w:t>
        </w:r>
      </w:hyperlink>
      <w:r w:rsidR="006A66D1" w:rsidRPr="008644F7">
        <w:rPr>
          <w:rStyle w:val="Hyperlink"/>
          <w:u w:val="none"/>
        </w:rPr>
        <w:t>.</w:t>
      </w:r>
      <w:r>
        <w:t xml:space="preserve"> </w:t>
      </w:r>
    </w:p>
    <w:p w14:paraId="584A6FD5" w14:textId="00AA755B" w:rsidR="00562F22" w:rsidRDefault="00562F22" w:rsidP="00562F22">
      <w:pPr>
        <w:rPr>
          <w:b/>
          <w:bCs/>
          <w:sz w:val="28"/>
          <w:szCs w:val="28"/>
        </w:rPr>
      </w:pPr>
    </w:p>
    <w:p w14:paraId="2664C926" w14:textId="77777777" w:rsidR="00562F22" w:rsidRDefault="00562F22" w:rsidP="00562F22">
      <w:pPr>
        <w:rPr>
          <w:b/>
          <w:bCs/>
          <w:sz w:val="28"/>
          <w:szCs w:val="28"/>
        </w:rPr>
      </w:pPr>
    </w:p>
    <w:p w14:paraId="11081FB1" w14:textId="77777777" w:rsidR="00562F22" w:rsidRDefault="00562F22" w:rsidP="00922442">
      <w:pPr>
        <w:jc w:val="center"/>
        <w:rPr>
          <w:b/>
          <w:bCs/>
          <w:sz w:val="28"/>
          <w:szCs w:val="28"/>
        </w:rPr>
      </w:pPr>
    </w:p>
    <w:p w14:paraId="4B76E0B4" w14:textId="77777777" w:rsidR="00562F22" w:rsidRDefault="00562F22" w:rsidP="00922442">
      <w:pPr>
        <w:jc w:val="center"/>
        <w:rPr>
          <w:b/>
          <w:bCs/>
          <w:sz w:val="28"/>
          <w:szCs w:val="28"/>
        </w:rPr>
      </w:pPr>
    </w:p>
    <w:p w14:paraId="07611B6B" w14:textId="77777777" w:rsidR="00562F22" w:rsidRDefault="00562F22" w:rsidP="00922442">
      <w:pPr>
        <w:jc w:val="center"/>
        <w:rPr>
          <w:b/>
          <w:bCs/>
          <w:sz w:val="28"/>
          <w:szCs w:val="28"/>
        </w:rPr>
      </w:pPr>
    </w:p>
    <w:p w14:paraId="13050C11" w14:textId="65C49362" w:rsidR="00E404D1" w:rsidRDefault="00922442">
      <w:r w:rsidRPr="002943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02B4C" wp14:editId="7FDBEF3E">
                <wp:simplePos x="0" y="0"/>
                <wp:positionH relativeFrom="column">
                  <wp:posOffset>4876800</wp:posOffset>
                </wp:positionH>
                <wp:positionV relativeFrom="paragraph">
                  <wp:posOffset>732790</wp:posOffset>
                </wp:positionV>
                <wp:extent cx="638175" cy="3238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391CBC" w14:textId="7155C750" w:rsidR="002943FF" w:rsidRPr="002943FF" w:rsidRDefault="002943FF" w:rsidP="002943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02B4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84pt;margin-top:57.7pt;width:50.2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" fillcolor="window" stroked="f" strokeweight=".5pt">
                <v:textbox>
                  <w:txbxContent>
                    <w:p w14:paraId="48391CBC" w14:textId="7155C750" w:rsidR="002943FF" w:rsidRPr="002943FF" w:rsidRDefault="002943FF" w:rsidP="002943F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1A89"/>
    <w:multiLevelType w:val="hybridMultilevel"/>
    <w:tmpl w:val="37FC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6060"/>
    <w:multiLevelType w:val="hybridMultilevel"/>
    <w:tmpl w:val="2EA0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28E1"/>
    <w:multiLevelType w:val="hybridMultilevel"/>
    <w:tmpl w:val="DFE8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D1"/>
    <w:rsid w:val="0002656B"/>
    <w:rsid w:val="000506A4"/>
    <w:rsid w:val="00073661"/>
    <w:rsid w:val="000D149C"/>
    <w:rsid w:val="0012476A"/>
    <w:rsid w:val="0016014A"/>
    <w:rsid w:val="001920BE"/>
    <w:rsid w:val="00201B1C"/>
    <w:rsid w:val="002026FE"/>
    <w:rsid w:val="002943FF"/>
    <w:rsid w:val="00340227"/>
    <w:rsid w:val="0034194B"/>
    <w:rsid w:val="003C1049"/>
    <w:rsid w:val="003F240B"/>
    <w:rsid w:val="00541A74"/>
    <w:rsid w:val="00562F22"/>
    <w:rsid w:val="005F543C"/>
    <w:rsid w:val="00696945"/>
    <w:rsid w:val="006A66D1"/>
    <w:rsid w:val="00751512"/>
    <w:rsid w:val="0078332B"/>
    <w:rsid w:val="007B4009"/>
    <w:rsid w:val="00847327"/>
    <w:rsid w:val="008644F7"/>
    <w:rsid w:val="00897E53"/>
    <w:rsid w:val="008A4863"/>
    <w:rsid w:val="00917623"/>
    <w:rsid w:val="00922442"/>
    <w:rsid w:val="009B486E"/>
    <w:rsid w:val="009F34AF"/>
    <w:rsid w:val="00A02C6B"/>
    <w:rsid w:val="00B43937"/>
    <w:rsid w:val="00B64D68"/>
    <w:rsid w:val="00CC4C52"/>
    <w:rsid w:val="00D428E9"/>
    <w:rsid w:val="00E4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4932"/>
  <w15:chartTrackingRefBased/>
  <w15:docId w15:val="{1EA38824-4702-462A-8934-A1BFFE61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F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7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2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woodenergy.org/community-choice-energy/residential/rates-residential-customers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dwoodenergy.org/community-choice-energy/residential/bil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dwoodenergy.org/services/customer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A2C9-3769-4841-A986-DAD8C55D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Mahayla Slackerelli</dc:creator>
  <cp:keywords/>
  <dc:description/>
  <cp:lastModifiedBy>Mahayla Slackerelli</cp:lastModifiedBy>
  <cp:revision>9</cp:revision>
  <dcterms:created xsi:type="dcterms:W3CDTF">2021-01-15T20:07:00Z</dcterms:created>
  <dcterms:modified xsi:type="dcterms:W3CDTF">2021-01-18T20:36:00Z</dcterms:modified>
</cp:coreProperties>
</file>