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2969A" w14:textId="1E57BFB1" w:rsidR="007E590F" w:rsidRPr="00B81D27" w:rsidRDefault="00A21C68" w:rsidP="00286849">
      <w:pPr>
        <w:rPr>
          <w:b/>
          <w:color w:val="1F497D" w:themeColor="text2"/>
          <w:sz w:val="60"/>
          <w:szCs w:val="60"/>
        </w:rPr>
      </w:pPr>
      <w:r>
        <w:rPr>
          <w:b/>
          <w:noProof/>
          <w:color w:val="1F497D" w:themeColor="text2"/>
          <w:sz w:val="60"/>
          <w:szCs w:val="60"/>
        </w:rPr>
        <mc:AlternateContent>
          <mc:Choice Requires="wps">
            <w:drawing>
              <wp:anchor distT="0" distB="0" distL="114300" distR="114300" simplePos="0" relativeHeight="251661312" behindDoc="0" locked="0" layoutInCell="1" allowOverlap="1" wp14:anchorId="06296A46" wp14:editId="12E2B573">
                <wp:simplePos x="0" y="0"/>
                <wp:positionH relativeFrom="column">
                  <wp:posOffset>7620</wp:posOffset>
                </wp:positionH>
                <wp:positionV relativeFrom="paragraph">
                  <wp:posOffset>474345</wp:posOffset>
                </wp:positionV>
                <wp:extent cx="6400800" cy="0"/>
                <wp:effectExtent l="19050" t="19050" r="19050" b="1905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2857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465515" id="_x0000_t32" coordsize="21600,21600" o:spt="32" o:oned="t" path="m,l21600,21600e" filled="f">
                <v:path arrowok="t" fillok="f" o:connecttype="none"/>
                <o:lock v:ext="edit" shapetype="t"/>
              </v:shapetype>
              <v:shape id="AutoShape 4" o:spid="_x0000_s1026" type="#_x0000_t32" style="position:absolute;margin-left:.6pt;margin-top:37.35pt;width:7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" strokecolor="#1f497d [3215]" strokeweight="2.25pt"/>
            </w:pict>
          </mc:Fallback>
        </mc:AlternateContent>
      </w:r>
      <w:r w:rsidR="00287B70">
        <w:rPr>
          <w:b/>
          <w:noProof/>
          <w:color w:val="1F497D" w:themeColor="text2"/>
          <w:sz w:val="60"/>
          <w:szCs w:val="60"/>
        </w:rPr>
        <w:drawing>
          <wp:anchor distT="0" distB="0" distL="114300" distR="114300" simplePos="0" relativeHeight="251659264" behindDoc="0" locked="0" layoutInCell="1" allowOverlap="1" wp14:anchorId="7DDEAAF6" wp14:editId="62518DA9">
            <wp:simplePos x="0" y="0"/>
            <wp:positionH relativeFrom="column">
              <wp:posOffset>5589270</wp:posOffset>
            </wp:positionH>
            <wp:positionV relativeFrom="paragraph">
              <wp:posOffset>-421005</wp:posOffset>
            </wp:positionV>
            <wp:extent cx="819150" cy="819150"/>
            <wp:effectExtent l="19050" t="0" r="0" b="0"/>
            <wp:wrapNone/>
            <wp:docPr id="1" name="Picture 1" descr="\\RCEADISKSTATION\Graphics\Logo - RCEA - graphic standards\RCEA 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EADISKSTATION\Graphics\Logo - RCEA - graphic standards\RCEA Logo_print.jpg"/>
                    <pic:cNvPicPr>
                      <a:picLocks noChangeAspect="1" noChangeArrowheads="1"/>
                    </pic:cNvPicPr>
                  </pic:nvPicPr>
                  <pic:blipFill>
                    <a:blip r:embed="rId7" cstate="print"/>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286849" w:rsidRPr="00B81D27">
        <w:rPr>
          <w:b/>
          <w:color w:val="1F497D" w:themeColor="text2"/>
          <w:sz w:val="60"/>
          <w:szCs w:val="60"/>
        </w:rPr>
        <w:t>Electric Vehicle Incentives</w:t>
      </w:r>
    </w:p>
    <w:p w14:paraId="6BB853E1" w14:textId="38970479" w:rsidR="00782C30" w:rsidRDefault="000E6F33">
      <w:pPr>
        <w:rPr>
          <w:rFonts w:cs="Arial"/>
        </w:rPr>
      </w:pPr>
      <w:r>
        <w:rPr>
          <w:rFonts w:cs="Arial"/>
        </w:rPr>
        <w:t>F</w:t>
      </w:r>
      <w:r w:rsidR="002B734D" w:rsidRPr="00286849">
        <w:rPr>
          <w:rFonts w:cs="Arial"/>
        </w:rPr>
        <w:t>or many consumers</w:t>
      </w:r>
      <w:r w:rsidR="00D82F21" w:rsidRPr="00286849">
        <w:rPr>
          <w:rFonts w:cs="Arial"/>
        </w:rPr>
        <w:t xml:space="preserve">, </w:t>
      </w:r>
      <w:r w:rsidR="002B734D" w:rsidRPr="00286849">
        <w:rPr>
          <w:rFonts w:cs="Arial"/>
        </w:rPr>
        <w:t>the upfront cost of electric vehicles, along with necessary charging equipment,</w:t>
      </w:r>
      <w:r w:rsidR="00D82F21" w:rsidRPr="00286849">
        <w:rPr>
          <w:rFonts w:cs="Arial"/>
        </w:rPr>
        <w:t xml:space="preserve"> </w:t>
      </w:r>
      <w:r w:rsidR="002B734D" w:rsidRPr="00286849">
        <w:rPr>
          <w:rFonts w:cs="Arial"/>
        </w:rPr>
        <w:t xml:space="preserve">keeps </w:t>
      </w:r>
      <w:r w:rsidR="008404AA">
        <w:rPr>
          <w:rFonts w:cs="Arial"/>
        </w:rPr>
        <w:t>EV</w:t>
      </w:r>
      <w:r w:rsidR="007E590F" w:rsidRPr="00286849">
        <w:rPr>
          <w:rFonts w:cs="Arial"/>
        </w:rPr>
        <w:t>s</w:t>
      </w:r>
      <w:r w:rsidR="002B734D" w:rsidRPr="00286849">
        <w:rPr>
          <w:rFonts w:cs="Arial"/>
        </w:rPr>
        <w:t xml:space="preserve"> out of reach.</w:t>
      </w:r>
      <w:r w:rsidR="00D82F21" w:rsidRPr="00286849">
        <w:rPr>
          <w:rFonts w:cs="Arial"/>
        </w:rPr>
        <w:t xml:space="preserve"> </w:t>
      </w:r>
      <w:r w:rsidR="006D7013" w:rsidRPr="00286849">
        <w:rPr>
          <w:rFonts w:cs="Arial"/>
        </w:rPr>
        <w:t xml:space="preserve">Fortunately, there are </w:t>
      </w:r>
      <w:proofErr w:type="gramStart"/>
      <w:r w:rsidR="006D7013" w:rsidRPr="00286849">
        <w:rPr>
          <w:rFonts w:cs="Arial"/>
        </w:rPr>
        <w:t>a number of</w:t>
      </w:r>
      <w:proofErr w:type="gramEnd"/>
      <w:r w:rsidR="006D7013" w:rsidRPr="00286849">
        <w:rPr>
          <w:rFonts w:cs="Arial"/>
        </w:rPr>
        <w:t xml:space="preserve"> incentives available to make the switch to electric much less shocking.</w:t>
      </w:r>
      <w:r w:rsidR="007775D8">
        <w:rPr>
          <w:rFonts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8067"/>
      </w:tblGrid>
      <w:tr w:rsidR="00887123" w14:paraId="2D4343A4" w14:textId="77777777" w:rsidTr="00A17471">
        <w:tc>
          <w:tcPr>
            <w:tcW w:w="2178" w:type="dxa"/>
          </w:tcPr>
          <w:p w14:paraId="292F413B" w14:textId="27472210" w:rsidR="00887123" w:rsidRDefault="00A21C68" w:rsidP="00887123">
            <w:pPr>
              <w:rPr>
                <w:rFonts w:cs="Arial"/>
                <w:b/>
                <w:sz w:val="24"/>
                <w:szCs w:val="24"/>
              </w:rPr>
            </w:pPr>
            <w:r>
              <w:rPr>
                <w:rFonts w:cs="Arial"/>
                <w:b/>
                <w:noProof/>
                <w:sz w:val="24"/>
                <w:szCs w:val="24"/>
              </w:rPr>
              <mc:AlternateContent>
                <mc:Choice Requires="wps">
                  <w:drawing>
                    <wp:anchor distT="0" distB="0" distL="114300" distR="114300" simplePos="0" relativeHeight="251662336" behindDoc="0" locked="0" layoutInCell="1" allowOverlap="1" wp14:anchorId="368286D3" wp14:editId="5781BD47">
                      <wp:simplePos x="0" y="0"/>
                      <wp:positionH relativeFrom="column">
                        <wp:posOffset>1276350</wp:posOffset>
                      </wp:positionH>
                      <wp:positionV relativeFrom="paragraph">
                        <wp:posOffset>4445</wp:posOffset>
                      </wp:positionV>
                      <wp:extent cx="0" cy="661670"/>
                      <wp:effectExtent l="11430" t="12065" r="7620" b="1206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16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4D623" id="AutoShape 6" o:spid="_x0000_s1026" type="#_x0000_t32" style="position:absolute;margin-left:100.5pt;margin-top:.35pt;width:0;height:5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" strokeweight="1pt"/>
                  </w:pict>
                </mc:Fallback>
              </mc:AlternateContent>
            </w:r>
            <w:r w:rsidR="00887123" w:rsidRPr="00E07446">
              <w:rPr>
                <w:rFonts w:cs="Arial"/>
                <w:b/>
                <w:sz w:val="24"/>
                <w:szCs w:val="24"/>
              </w:rPr>
              <w:t>Federal Tax Credit</w:t>
            </w:r>
          </w:p>
          <w:p w14:paraId="722B89B1" w14:textId="77777777" w:rsidR="00887123" w:rsidRDefault="00887123" w:rsidP="00887123">
            <w:pPr>
              <w:rPr>
                <w:rFonts w:cs="Arial"/>
                <w:b/>
              </w:rPr>
            </w:pPr>
            <w:r>
              <w:rPr>
                <w:rFonts w:cs="Arial"/>
                <w:b/>
              </w:rPr>
              <w:t>Qualifications:</w:t>
            </w:r>
          </w:p>
          <w:p w14:paraId="559CB4A1" w14:textId="444657AF" w:rsidR="00887123" w:rsidRPr="005E663D" w:rsidRDefault="00887123" w:rsidP="00887123">
            <w:pPr>
              <w:rPr>
                <w:rFonts w:cs="Arial"/>
              </w:rPr>
            </w:pPr>
            <w:r w:rsidRPr="005E663D">
              <w:rPr>
                <w:rFonts w:cs="Arial"/>
              </w:rPr>
              <w:t>battery ≥ 5kW</w:t>
            </w:r>
          </w:p>
        </w:tc>
        <w:tc>
          <w:tcPr>
            <w:tcW w:w="8262" w:type="dxa"/>
          </w:tcPr>
          <w:p w14:paraId="1C3C4CE2" w14:textId="6864E09C" w:rsidR="00887123" w:rsidRDefault="00887123" w:rsidP="00887123">
            <w:pPr>
              <w:rPr>
                <w:rFonts w:cs="Arial"/>
              </w:rPr>
            </w:pPr>
            <w:r w:rsidRPr="00286849">
              <w:rPr>
                <w:rFonts w:cs="Arial"/>
              </w:rPr>
              <w:t>The federal government wants to see you in an EV. They offer a tax credit of $2,500 for the purchase of a new electric vehicle</w:t>
            </w:r>
            <w:r>
              <w:rPr>
                <w:rFonts w:cs="Arial"/>
              </w:rPr>
              <w:t xml:space="preserve"> (EV)</w:t>
            </w:r>
            <w:r w:rsidRPr="00286849">
              <w:rPr>
                <w:rFonts w:cs="Arial"/>
              </w:rPr>
              <w:t xml:space="preserve">, with an additional $417 for every kilowatt hour of juice </w:t>
            </w:r>
            <w:r>
              <w:rPr>
                <w:rFonts w:cs="Arial"/>
              </w:rPr>
              <w:t xml:space="preserve">the vehicle’s battery has </w:t>
            </w:r>
            <w:r w:rsidRPr="00286849">
              <w:rPr>
                <w:rFonts w:cs="Arial"/>
              </w:rPr>
              <w:t>above the 5 kilowatt hour minimum. This</w:t>
            </w:r>
            <w:r>
              <w:rPr>
                <w:rFonts w:cs="Arial"/>
              </w:rPr>
              <w:t xml:space="preserve"> adds up quickly in most new EV</w:t>
            </w:r>
            <w:r w:rsidRPr="00286849">
              <w:rPr>
                <w:rFonts w:cs="Arial"/>
              </w:rPr>
              <w:t xml:space="preserve">s, with the credit capped at </w:t>
            </w:r>
            <w:r w:rsidRPr="00B81D27">
              <w:rPr>
                <w:rFonts w:cs="Arial"/>
                <w:b/>
              </w:rPr>
              <w:t>$7,500</w:t>
            </w:r>
            <w:r w:rsidRPr="00286849">
              <w:rPr>
                <w:rFonts w:cs="Arial"/>
              </w:rPr>
              <w:t>.</w:t>
            </w:r>
            <w:r>
              <w:rPr>
                <w:rFonts w:cs="Arial"/>
              </w:rPr>
              <w:t xml:space="preserve"> Visit </w:t>
            </w:r>
            <w:hyperlink r:id="rId8" w:history="1">
              <w:r w:rsidRPr="002A6D10">
                <w:rPr>
                  <w:rStyle w:val="Hyperlink"/>
                  <w:rFonts w:cs="Arial"/>
                  <w:b/>
                </w:rPr>
                <w:t>irs.gov</w:t>
              </w:r>
            </w:hyperlink>
            <w:r>
              <w:rPr>
                <w:rFonts w:cs="Arial"/>
              </w:rPr>
              <w:t xml:space="preserve"> for more info.</w:t>
            </w:r>
          </w:p>
          <w:p w14:paraId="77CA76FA" w14:textId="6E144F8A" w:rsidR="00887123" w:rsidRPr="00887123" w:rsidRDefault="00887123" w:rsidP="00222F00">
            <w:pPr>
              <w:rPr>
                <w:rFonts w:cs="Arial"/>
                <w:sz w:val="16"/>
                <w:szCs w:val="16"/>
              </w:rPr>
            </w:pPr>
          </w:p>
        </w:tc>
      </w:tr>
      <w:tr w:rsidR="00887123" w14:paraId="1FFA4F92" w14:textId="77777777" w:rsidTr="00A17471">
        <w:tc>
          <w:tcPr>
            <w:tcW w:w="2178" w:type="dxa"/>
          </w:tcPr>
          <w:p w14:paraId="697FE30F" w14:textId="5DA9CBFD" w:rsidR="00887123" w:rsidRDefault="00A21C68" w:rsidP="00887123">
            <w:pPr>
              <w:rPr>
                <w:rFonts w:cs="Arial"/>
                <w:b/>
                <w:sz w:val="24"/>
                <w:szCs w:val="24"/>
              </w:rPr>
            </w:pPr>
            <w:r>
              <w:rPr>
                <w:rFonts w:cs="Arial"/>
                <w:b/>
                <w:noProof/>
                <w:sz w:val="24"/>
                <w:szCs w:val="24"/>
              </w:rPr>
              <mc:AlternateContent>
                <mc:Choice Requires="wps">
                  <w:drawing>
                    <wp:anchor distT="0" distB="0" distL="114300" distR="114300" simplePos="0" relativeHeight="251663360" behindDoc="0" locked="0" layoutInCell="1" allowOverlap="1" wp14:anchorId="368286D3" wp14:editId="4DCD7261">
                      <wp:simplePos x="0" y="0"/>
                      <wp:positionH relativeFrom="column">
                        <wp:posOffset>1286510</wp:posOffset>
                      </wp:positionH>
                      <wp:positionV relativeFrom="paragraph">
                        <wp:posOffset>85725</wp:posOffset>
                      </wp:positionV>
                      <wp:extent cx="0" cy="892810"/>
                      <wp:effectExtent l="12065" t="13335" r="6985" b="825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28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1059B" id="AutoShape 7" o:spid="_x0000_s1026" type="#_x0000_t32" style="position:absolute;margin-left:101.3pt;margin-top:6.75pt;width:0;height:7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" strokeweight="1pt"/>
                  </w:pict>
                </mc:Fallback>
              </mc:AlternateContent>
            </w:r>
            <w:r w:rsidR="00887123" w:rsidRPr="00E07446">
              <w:rPr>
                <w:rFonts w:cs="Arial"/>
                <w:b/>
                <w:sz w:val="24"/>
                <w:szCs w:val="24"/>
              </w:rPr>
              <w:t>CVRP Rebate</w:t>
            </w:r>
          </w:p>
          <w:p w14:paraId="6A36B1A1" w14:textId="77777777" w:rsidR="00887123" w:rsidRPr="00D2452F" w:rsidRDefault="00887123" w:rsidP="00887123">
            <w:pPr>
              <w:rPr>
                <w:rFonts w:cs="Arial"/>
                <w:b/>
                <w:sz w:val="20"/>
                <w:szCs w:val="20"/>
              </w:rPr>
            </w:pPr>
          </w:p>
          <w:p w14:paraId="4F495F01" w14:textId="0D5210E6" w:rsidR="00887123" w:rsidRPr="005E663D" w:rsidRDefault="00887123" w:rsidP="00887123">
            <w:pPr>
              <w:rPr>
                <w:rFonts w:cs="Arial"/>
                <w:b/>
              </w:rPr>
            </w:pPr>
            <w:r w:rsidRPr="005E663D">
              <w:rPr>
                <w:rFonts w:cs="Arial"/>
                <w:b/>
              </w:rPr>
              <w:t>Qualifications:</w:t>
            </w:r>
          </w:p>
          <w:p w14:paraId="4CCE8A52" w14:textId="77777777" w:rsidR="00887123" w:rsidRPr="005E663D" w:rsidRDefault="00887123" w:rsidP="00887123">
            <w:pPr>
              <w:rPr>
                <w:rFonts w:cs="Arial"/>
              </w:rPr>
            </w:pPr>
            <w:r w:rsidRPr="005E663D">
              <w:rPr>
                <w:rFonts w:cs="Arial"/>
              </w:rPr>
              <w:t>California Resident</w:t>
            </w:r>
          </w:p>
          <w:p w14:paraId="0886B6EF" w14:textId="199EBB32" w:rsidR="00887123" w:rsidRDefault="00887123" w:rsidP="00887123">
            <w:pPr>
              <w:rPr>
                <w:rFonts w:cs="Arial"/>
              </w:rPr>
            </w:pPr>
            <w:r w:rsidRPr="005E663D">
              <w:rPr>
                <w:rFonts w:cs="Arial"/>
              </w:rPr>
              <w:t>Income under $250k</w:t>
            </w:r>
          </w:p>
        </w:tc>
        <w:tc>
          <w:tcPr>
            <w:tcW w:w="8262" w:type="dxa"/>
          </w:tcPr>
          <w:p w14:paraId="49324AFD" w14:textId="311C9AA2" w:rsidR="00887123" w:rsidRDefault="00887123" w:rsidP="00222F00">
            <w:pPr>
              <w:rPr>
                <w:rFonts w:cs="Arial"/>
              </w:rPr>
            </w:pPr>
            <w:r w:rsidRPr="00286849">
              <w:rPr>
                <w:rFonts w:cs="Arial"/>
              </w:rPr>
              <w:t xml:space="preserve">Unlike the Fed’s tax credit, which is applied to taxes owed at the end of the year, the Clean Vehicle Rebate Project’s </w:t>
            </w:r>
            <w:r w:rsidRPr="00B81D27">
              <w:rPr>
                <w:rFonts w:cs="Arial"/>
                <w:b/>
              </w:rPr>
              <w:t>$2,500 rebate</w:t>
            </w:r>
            <w:r w:rsidRPr="00286849">
              <w:rPr>
                <w:rFonts w:cs="Arial"/>
              </w:rPr>
              <w:t xml:space="preserve"> </w:t>
            </w:r>
            <w:r w:rsidR="003C6F9F">
              <w:rPr>
                <w:rFonts w:cs="Arial"/>
              </w:rPr>
              <w:t>provides</w:t>
            </w:r>
            <w:r w:rsidRPr="00286849">
              <w:rPr>
                <w:rFonts w:cs="Arial"/>
              </w:rPr>
              <w:t xml:space="preserve"> instant savings. The process is simple: purchase a new BEV ($2,500 rebate) or a PHEV ($1,500 rebate). </w:t>
            </w:r>
            <w:r>
              <w:rPr>
                <w:rFonts w:cs="Arial"/>
              </w:rPr>
              <w:t xml:space="preserve">Residents making under </w:t>
            </w:r>
            <w:r w:rsidR="003C6F9F">
              <w:rPr>
                <w:rFonts w:cs="Arial"/>
              </w:rPr>
              <w:t>$</w:t>
            </w:r>
            <w:r>
              <w:rPr>
                <w:rFonts w:cs="Arial"/>
              </w:rPr>
              <w:t xml:space="preserve">35k are eligible for an additional $1,500. </w:t>
            </w:r>
            <w:r w:rsidRPr="00286849">
              <w:rPr>
                <w:rFonts w:cs="Arial"/>
              </w:rPr>
              <w:t>Fill out an online form and receive a check in the mail</w:t>
            </w:r>
            <w:r>
              <w:rPr>
                <w:rFonts w:cs="Arial"/>
              </w:rPr>
              <w:t>.</w:t>
            </w:r>
            <w:r w:rsidRPr="00286849">
              <w:rPr>
                <w:rFonts w:cs="Arial"/>
              </w:rPr>
              <w:t xml:space="preserve"> Head to </w:t>
            </w:r>
            <w:hyperlink r:id="rId9" w:history="1">
              <w:r w:rsidRPr="002A6D10">
                <w:rPr>
                  <w:rStyle w:val="Hyperlink"/>
                  <w:rFonts w:cs="Arial"/>
                  <w:b/>
                </w:rPr>
                <w:t>cleanvehiclerebate.org</w:t>
              </w:r>
            </w:hyperlink>
            <w:r w:rsidRPr="00286849">
              <w:rPr>
                <w:rFonts w:cs="Arial"/>
              </w:rPr>
              <w:t xml:space="preserve"> </w:t>
            </w:r>
            <w:r>
              <w:rPr>
                <w:rFonts w:cs="Arial"/>
              </w:rPr>
              <w:t xml:space="preserve">for more details </w:t>
            </w:r>
            <w:r w:rsidRPr="00286849">
              <w:rPr>
                <w:rFonts w:cs="Arial"/>
              </w:rPr>
              <w:t>and compare qualifying vehicles</w:t>
            </w:r>
            <w:r>
              <w:rPr>
                <w:rFonts w:cs="Arial"/>
              </w:rPr>
              <w:t>.</w:t>
            </w:r>
          </w:p>
          <w:p w14:paraId="3324A5D3" w14:textId="505E355F" w:rsidR="00887123" w:rsidRPr="00887123" w:rsidRDefault="00887123" w:rsidP="00222F00">
            <w:pPr>
              <w:rPr>
                <w:rFonts w:cs="Arial"/>
                <w:sz w:val="16"/>
                <w:szCs w:val="16"/>
              </w:rPr>
            </w:pPr>
          </w:p>
        </w:tc>
      </w:tr>
      <w:tr w:rsidR="00A17471" w14:paraId="53310919" w14:textId="77777777" w:rsidTr="00A17471">
        <w:tc>
          <w:tcPr>
            <w:tcW w:w="2178" w:type="dxa"/>
          </w:tcPr>
          <w:p w14:paraId="0F76AD4A" w14:textId="560C7E80" w:rsidR="00A17471" w:rsidRDefault="00A21C68" w:rsidP="00887123">
            <w:pPr>
              <w:rPr>
                <w:rFonts w:cs="Arial"/>
                <w:b/>
                <w:noProof/>
                <w:sz w:val="24"/>
                <w:szCs w:val="24"/>
              </w:rPr>
            </w:pPr>
            <w:r>
              <w:rPr>
                <w:rFonts w:cs="Arial"/>
                <w:b/>
                <w:noProof/>
                <w:sz w:val="24"/>
                <w:szCs w:val="24"/>
              </w:rPr>
              <mc:AlternateContent>
                <mc:Choice Requires="wps">
                  <w:drawing>
                    <wp:anchor distT="0" distB="0" distL="114300" distR="114300" simplePos="0" relativeHeight="251675648" behindDoc="0" locked="0" layoutInCell="1" allowOverlap="1" wp14:anchorId="368286D3" wp14:editId="75D3B67B">
                      <wp:simplePos x="0" y="0"/>
                      <wp:positionH relativeFrom="column">
                        <wp:posOffset>1276350</wp:posOffset>
                      </wp:positionH>
                      <wp:positionV relativeFrom="paragraph">
                        <wp:posOffset>50165</wp:posOffset>
                      </wp:positionV>
                      <wp:extent cx="10795" cy="602615"/>
                      <wp:effectExtent l="11430" t="10795" r="6350" b="1524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6026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89A1A" id="AutoShape 21" o:spid="_x0000_s1026" type="#_x0000_t32" style="position:absolute;margin-left:100.5pt;margin-top:3.95pt;width:.85pt;height:47.4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" strokeweight="1pt"/>
                  </w:pict>
                </mc:Fallback>
              </mc:AlternateContent>
            </w:r>
            <w:r w:rsidR="009E3B16">
              <w:rPr>
                <w:rFonts w:cs="Arial"/>
                <w:b/>
                <w:noProof/>
                <w:sz w:val="24"/>
                <w:szCs w:val="24"/>
              </w:rPr>
              <w:t>California Vehicle Assistance Program</w:t>
            </w:r>
          </w:p>
        </w:tc>
        <w:tc>
          <w:tcPr>
            <w:tcW w:w="8262" w:type="dxa"/>
          </w:tcPr>
          <w:p w14:paraId="1ABEA27F" w14:textId="3AE86E05" w:rsidR="00A17471" w:rsidRDefault="007775D8" w:rsidP="00222F00">
            <w:pPr>
              <w:rPr>
                <w:rFonts w:cs="Arial"/>
              </w:rPr>
            </w:pPr>
            <w:r>
              <w:rPr>
                <w:rFonts w:cs="Arial"/>
              </w:rPr>
              <w:t xml:space="preserve">Invest in a standard hybrid, EV, or PHEV and receive a $2,500 or $5,000 grant </w:t>
            </w:r>
            <w:r w:rsidR="002A6D10">
              <w:rPr>
                <w:rFonts w:cs="Arial"/>
              </w:rPr>
              <w:t>right away</w:t>
            </w:r>
            <w:r>
              <w:rPr>
                <w:rFonts w:cs="Arial"/>
              </w:rPr>
              <w:t xml:space="preserve">! </w:t>
            </w:r>
            <w:r w:rsidR="000E6F33">
              <w:rPr>
                <w:rFonts w:cs="Arial"/>
              </w:rPr>
              <w:t>Release</w:t>
            </w:r>
            <w:r w:rsidR="005B288D">
              <w:rPr>
                <w:rFonts w:cs="Arial"/>
              </w:rPr>
              <w:t>d</w:t>
            </w:r>
            <w:r w:rsidR="000E6F33">
              <w:rPr>
                <w:rFonts w:cs="Arial"/>
              </w:rPr>
              <w:t xml:space="preserve"> August 2018, this new incentive program</w:t>
            </w:r>
            <w:r w:rsidR="005B288D">
              <w:rPr>
                <w:rFonts w:cs="Arial"/>
              </w:rPr>
              <w:t xml:space="preserve"> offers a</w:t>
            </w:r>
            <w:r w:rsidR="000E6F33">
              <w:rPr>
                <w:rFonts w:cs="Arial"/>
              </w:rPr>
              <w:t xml:space="preserve"> </w:t>
            </w:r>
            <w:r w:rsidR="005B288D">
              <w:rPr>
                <w:rFonts w:cs="Arial"/>
              </w:rPr>
              <w:t>grant and optional low</w:t>
            </w:r>
            <w:r>
              <w:rPr>
                <w:rFonts w:cs="Arial"/>
              </w:rPr>
              <w:t xml:space="preserve"> </w:t>
            </w:r>
            <w:r w:rsidR="005B288D">
              <w:rPr>
                <w:rFonts w:cs="Arial"/>
              </w:rPr>
              <w:t>interest loan</w:t>
            </w:r>
            <w:r w:rsidR="000E6F33">
              <w:rPr>
                <w:rFonts w:cs="Arial"/>
              </w:rPr>
              <w:t xml:space="preserve"> to lower-income single and multi-</w:t>
            </w:r>
            <w:r w:rsidR="005B288D">
              <w:rPr>
                <w:rFonts w:cs="Arial"/>
              </w:rPr>
              <w:t xml:space="preserve">family </w:t>
            </w:r>
            <w:r w:rsidR="000E6F33">
              <w:rPr>
                <w:rFonts w:cs="Arial"/>
              </w:rPr>
              <w:t>households</w:t>
            </w:r>
            <w:r w:rsidR="005B288D">
              <w:rPr>
                <w:rFonts w:cs="Arial"/>
              </w:rPr>
              <w:t xml:space="preserve">. </w:t>
            </w:r>
            <w:r w:rsidR="000E6F33">
              <w:rPr>
                <w:rFonts w:cs="Arial"/>
              </w:rPr>
              <w:t xml:space="preserve">Visit </w:t>
            </w:r>
            <w:hyperlink r:id="rId10" w:history="1">
              <w:r w:rsidR="000E6F33">
                <w:rPr>
                  <w:rStyle w:val="Hyperlink"/>
                  <w:rFonts w:cs="Arial"/>
                  <w:b/>
                </w:rPr>
                <w:t>cleanvehiclegrants.org</w:t>
              </w:r>
            </w:hyperlink>
            <w:r w:rsidR="000E6F33">
              <w:rPr>
                <w:rFonts w:cs="Arial"/>
              </w:rPr>
              <w:t xml:space="preserve"> to see if you are eligible to receive th</w:t>
            </w:r>
            <w:r w:rsidR="005B288D">
              <w:rPr>
                <w:rFonts w:cs="Arial"/>
              </w:rPr>
              <w:t>i</w:t>
            </w:r>
            <w:r>
              <w:rPr>
                <w:rFonts w:cs="Arial"/>
              </w:rPr>
              <w:t>s awesome</w:t>
            </w:r>
            <w:r w:rsidR="000D28D7">
              <w:rPr>
                <w:rFonts w:cs="Arial"/>
              </w:rPr>
              <w:t xml:space="preserve"> </w:t>
            </w:r>
            <w:r>
              <w:rPr>
                <w:rFonts w:cs="Arial"/>
              </w:rPr>
              <w:t>deal</w:t>
            </w:r>
            <w:r w:rsidR="005B288D">
              <w:rPr>
                <w:rFonts w:cs="Arial"/>
              </w:rPr>
              <w:t xml:space="preserve">. </w:t>
            </w:r>
          </w:p>
          <w:p w14:paraId="56E2BB1C" w14:textId="146250B3" w:rsidR="000E6F33" w:rsidRPr="00286849" w:rsidRDefault="000E6F33" w:rsidP="00222F00">
            <w:pPr>
              <w:rPr>
                <w:rFonts w:cs="Arial"/>
              </w:rPr>
            </w:pPr>
          </w:p>
        </w:tc>
      </w:tr>
      <w:tr w:rsidR="00887123" w14:paraId="699F36C1" w14:textId="77777777" w:rsidTr="00A17471">
        <w:tc>
          <w:tcPr>
            <w:tcW w:w="2178" w:type="dxa"/>
          </w:tcPr>
          <w:p w14:paraId="0B05B2DC" w14:textId="49906934" w:rsidR="00887123" w:rsidRDefault="00A21C68" w:rsidP="00887123">
            <w:pPr>
              <w:rPr>
                <w:rFonts w:cs="Arial"/>
                <w:b/>
                <w:sz w:val="24"/>
                <w:szCs w:val="24"/>
              </w:rPr>
            </w:pPr>
            <w:r>
              <w:rPr>
                <w:rFonts w:cs="Arial"/>
                <w:b/>
                <w:noProof/>
                <w:sz w:val="24"/>
                <w:szCs w:val="24"/>
              </w:rPr>
              <mc:AlternateContent>
                <mc:Choice Requires="wps">
                  <w:drawing>
                    <wp:anchor distT="0" distB="0" distL="114300" distR="114300" simplePos="0" relativeHeight="251665408" behindDoc="0" locked="0" layoutInCell="1" allowOverlap="1" wp14:anchorId="368286D3" wp14:editId="3A116D07">
                      <wp:simplePos x="0" y="0"/>
                      <wp:positionH relativeFrom="column">
                        <wp:posOffset>1285875</wp:posOffset>
                      </wp:positionH>
                      <wp:positionV relativeFrom="paragraph">
                        <wp:posOffset>47625</wp:posOffset>
                      </wp:positionV>
                      <wp:extent cx="635" cy="265430"/>
                      <wp:effectExtent l="11430" t="13335" r="6985" b="698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4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69390" id="AutoShape 9" o:spid="_x0000_s1026" type="#_x0000_t32" style="position:absolute;margin-left:101.25pt;margin-top:3.75pt;width:.05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" strokeweight="1pt"/>
                  </w:pict>
                </mc:Fallback>
              </mc:AlternateContent>
            </w:r>
            <w:r w:rsidR="00887123">
              <w:rPr>
                <w:rFonts w:cs="Arial"/>
                <w:b/>
                <w:sz w:val="24"/>
                <w:szCs w:val="24"/>
              </w:rPr>
              <w:t>PG&amp;E Rebate</w:t>
            </w:r>
          </w:p>
        </w:tc>
        <w:tc>
          <w:tcPr>
            <w:tcW w:w="8262" w:type="dxa"/>
          </w:tcPr>
          <w:p w14:paraId="5B3646B9" w14:textId="36D66633" w:rsidR="00887123" w:rsidRDefault="003C6F9F" w:rsidP="00222F00">
            <w:pPr>
              <w:rPr>
                <w:rFonts w:cs="Arial"/>
              </w:rPr>
            </w:pPr>
            <w:r>
              <w:rPr>
                <w:rFonts w:cs="Arial"/>
              </w:rPr>
              <w:t>E</w:t>
            </w:r>
            <w:r w:rsidR="00887123">
              <w:rPr>
                <w:rFonts w:cs="Arial"/>
              </w:rPr>
              <w:t>lectric utilit</w:t>
            </w:r>
            <w:r>
              <w:rPr>
                <w:rFonts w:cs="Arial"/>
              </w:rPr>
              <w:t>ies</w:t>
            </w:r>
            <w:r w:rsidR="00887123">
              <w:rPr>
                <w:rFonts w:cs="Arial"/>
              </w:rPr>
              <w:t xml:space="preserve"> </w:t>
            </w:r>
            <w:r>
              <w:rPr>
                <w:rFonts w:cs="Arial"/>
              </w:rPr>
              <w:t>also want to assist</w:t>
            </w:r>
            <w:r w:rsidR="00887123">
              <w:rPr>
                <w:rFonts w:cs="Arial"/>
              </w:rPr>
              <w:t xml:space="preserve"> </w:t>
            </w:r>
            <w:r w:rsidR="00F2771A">
              <w:rPr>
                <w:rFonts w:cs="Arial"/>
              </w:rPr>
              <w:t>new B</w:t>
            </w:r>
            <w:r w:rsidR="00887123">
              <w:rPr>
                <w:rFonts w:cs="Arial"/>
              </w:rPr>
              <w:t>EV/PHEV</w:t>
            </w:r>
            <w:r w:rsidR="00F2771A">
              <w:rPr>
                <w:rFonts w:cs="Arial"/>
              </w:rPr>
              <w:t xml:space="preserve"> drivers</w:t>
            </w:r>
            <w:r w:rsidR="00887123">
              <w:rPr>
                <w:rFonts w:cs="Arial"/>
              </w:rPr>
              <w:t xml:space="preserve"> with a </w:t>
            </w:r>
            <w:r w:rsidR="00887123" w:rsidRPr="00887123">
              <w:rPr>
                <w:rFonts w:cs="Arial"/>
                <w:b/>
              </w:rPr>
              <w:t>$</w:t>
            </w:r>
            <w:r w:rsidR="008E206F">
              <w:rPr>
                <w:rFonts w:cs="Arial"/>
                <w:b/>
              </w:rPr>
              <w:t>8</w:t>
            </w:r>
            <w:r w:rsidR="00887123" w:rsidRPr="00887123">
              <w:rPr>
                <w:rFonts w:cs="Arial"/>
                <w:b/>
              </w:rPr>
              <w:t>00 rebate</w:t>
            </w:r>
            <w:r w:rsidR="00887123">
              <w:rPr>
                <w:rFonts w:cs="Arial"/>
                <w:b/>
              </w:rPr>
              <w:t>!</w:t>
            </w:r>
            <w:r w:rsidR="00887123" w:rsidRPr="003C6F9F">
              <w:rPr>
                <w:rFonts w:cs="Arial"/>
              </w:rPr>
              <w:t xml:space="preserve"> </w:t>
            </w:r>
            <w:r w:rsidRPr="003C6F9F">
              <w:rPr>
                <w:rFonts w:cs="Arial"/>
              </w:rPr>
              <w:t xml:space="preserve">PG&amp;E provides this rebate to CCA and non-CCA customers alike. </w:t>
            </w:r>
            <w:r w:rsidR="00887123" w:rsidRPr="002A64E9">
              <w:rPr>
                <w:rFonts w:cs="Arial"/>
              </w:rPr>
              <w:t xml:space="preserve">To apply, please visit </w:t>
            </w:r>
            <w:hyperlink r:id="rId11" w:history="1">
              <w:r w:rsidR="002A64E9" w:rsidRPr="00D85CC0">
                <w:rPr>
                  <w:rStyle w:val="Hyperlink"/>
                  <w:rFonts w:cs="Arial"/>
                  <w:b/>
                </w:rPr>
                <w:t>pge.com</w:t>
              </w:r>
            </w:hyperlink>
            <w:r w:rsidR="007E1638">
              <w:rPr>
                <w:rFonts w:cs="Arial"/>
              </w:rPr>
              <w:t>.</w:t>
            </w:r>
            <w:r w:rsidR="00D0211C">
              <w:rPr>
                <w:rFonts w:cs="Arial"/>
              </w:rPr>
              <w:t xml:space="preserve"> This rebate will be available beginning in January 2019.</w:t>
            </w:r>
          </w:p>
          <w:p w14:paraId="74AB45BC" w14:textId="135C6909" w:rsidR="007E1638" w:rsidRPr="007E1638" w:rsidRDefault="007E1638" w:rsidP="00222F00">
            <w:pPr>
              <w:rPr>
                <w:rFonts w:cs="Arial"/>
                <w:b/>
              </w:rPr>
            </w:pPr>
          </w:p>
        </w:tc>
      </w:tr>
      <w:tr w:rsidR="00A17471" w14:paraId="7E3154E7" w14:textId="77777777" w:rsidTr="00A17471">
        <w:tc>
          <w:tcPr>
            <w:tcW w:w="2178" w:type="dxa"/>
          </w:tcPr>
          <w:p w14:paraId="1D53B06F" w14:textId="670F29F9" w:rsidR="00A17471" w:rsidRPr="0033228F" w:rsidRDefault="00A21C68" w:rsidP="00A17471">
            <w:pPr>
              <w:rPr>
                <w:rFonts w:cs="Arial"/>
                <w:b/>
                <w:sz w:val="24"/>
                <w:szCs w:val="24"/>
              </w:rPr>
            </w:pPr>
            <w:r>
              <w:rPr>
                <w:rFonts w:cs="Arial"/>
                <w:b/>
                <w:noProof/>
                <w:sz w:val="24"/>
                <w:szCs w:val="24"/>
              </w:rPr>
              <mc:AlternateContent>
                <mc:Choice Requires="wps">
                  <w:drawing>
                    <wp:anchor distT="0" distB="0" distL="114300" distR="114300" simplePos="0" relativeHeight="251674624" behindDoc="0" locked="0" layoutInCell="1" allowOverlap="1" wp14:anchorId="727F6BB3" wp14:editId="5DD59DAF">
                      <wp:simplePos x="0" y="0"/>
                      <wp:positionH relativeFrom="column">
                        <wp:posOffset>1286510</wp:posOffset>
                      </wp:positionH>
                      <wp:positionV relativeFrom="paragraph">
                        <wp:posOffset>26035</wp:posOffset>
                      </wp:positionV>
                      <wp:extent cx="0" cy="622300"/>
                      <wp:effectExtent l="12065" t="7620" r="6985" b="825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3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ED285" id="AutoShape 20" o:spid="_x0000_s1026" type="#_x0000_t32" style="position:absolute;margin-left:101.3pt;margin-top:2.05pt;width:0;height: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" strokeweight="1pt"/>
                  </w:pict>
                </mc:Fallback>
              </mc:AlternateContent>
            </w:r>
            <w:r w:rsidR="000E6F33">
              <w:rPr>
                <w:rFonts w:cs="Arial"/>
                <w:b/>
                <w:sz w:val="24"/>
                <w:szCs w:val="24"/>
              </w:rPr>
              <w:t>Electricity</w:t>
            </w:r>
            <w:r w:rsidR="00A17471" w:rsidRPr="0033228F">
              <w:rPr>
                <w:rFonts w:cs="Arial"/>
                <w:b/>
                <w:sz w:val="24"/>
                <w:szCs w:val="24"/>
              </w:rPr>
              <w:t xml:space="preserve"> Rates</w:t>
            </w:r>
          </w:p>
          <w:p w14:paraId="60CB4531" w14:textId="77777777" w:rsidR="00A17471" w:rsidRDefault="00A17471" w:rsidP="00A17471">
            <w:pPr>
              <w:rPr>
                <w:rFonts w:cs="Arial"/>
              </w:rPr>
            </w:pPr>
          </w:p>
        </w:tc>
        <w:tc>
          <w:tcPr>
            <w:tcW w:w="8262" w:type="dxa"/>
          </w:tcPr>
          <w:p w14:paraId="2EA45649" w14:textId="5EA43BD1" w:rsidR="00A17471" w:rsidRPr="00D0211C" w:rsidRDefault="00A17471" w:rsidP="00A17471">
            <w:pPr>
              <w:rPr>
                <w:rFonts w:cs="Arial"/>
              </w:rPr>
            </w:pPr>
            <w:r w:rsidRPr="00887123">
              <w:rPr>
                <w:rFonts w:cs="Arial"/>
              </w:rPr>
              <w:t xml:space="preserve">When it’s finally time to plug in, EV owners can often take advantage of lower rates for electricity. For </w:t>
            </w:r>
            <w:r w:rsidR="007775D8">
              <w:rPr>
                <w:rFonts w:cs="Arial"/>
              </w:rPr>
              <w:t>CCA</w:t>
            </w:r>
            <w:r w:rsidRPr="00887123">
              <w:rPr>
                <w:rFonts w:cs="Arial"/>
              </w:rPr>
              <w:t xml:space="preserve"> customers, cheaper night time charging is available through </w:t>
            </w:r>
            <w:r w:rsidR="007775D8">
              <w:rPr>
                <w:rFonts w:cs="Arial"/>
              </w:rPr>
              <w:t xml:space="preserve">the </w:t>
            </w:r>
            <w:r w:rsidRPr="00887123">
              <w:rPr>
                <w:rFonts w:cs="Arial"/>
              </w:rPr>
              <w:t xml:space="preserve">special </w:t>
            </w:r>
            <w:r w:rsidR="007775D8" w:rsidRPr="007775D8">
              <w:rPr>
                <w:rFonts w:cs="Arial"/>
                <w:b/>
              </w:rPr>
              <w:t>EV-A</w:t>
            </w:r>
            <w:r w:rsidRPr="00887123">
              <w:rPr>
                <w:rFonts w:cs="Arial"/>
              </w:rPr>
              <w:t xml:space="preserve"> rate. Compare different rate plans at</w:t>
            </w:r>
            <w:r w:rsidR="007775D8">
              <w:rPr>
                <w:rFonts w:cs="Arial"/>
              </w:rPr>
              <w:t xml:space="preserve"> </w:t>
            </w:r>
            <w:hyperlink r:id="rId12" w:history="1">
              <w:r w:rsidR="007775D8">
                <w:rPr>
                  <w:rStyle w:val="Hyperlink"/>
                  <w:rFonts w:cs="Arial"/>
                  <w:b/>
                </w:rPr>
                <w:t>redwoodenergy.org</w:t>
              </w:r>
            </w:hyperlink>
            <w:r w:rsidR="00D0211C">
              <w:rPr>
                <w:rStyle w:val="Hyperlink"/>
                <w:rFonts w:cs="Arial"/>
                <w:b/>
              </w:rPr>
              <w:t>.</w:t>
            </w:r>
            <w:r w:rsidR="00D0211C">
              <w:rPr>
                <w:rStyle w:val="Hyperlink"/>
                <w:b/>
              </w:rPr>
              <w:t xml:space="preserve"> </w:t>
            </w:r>
            <w:r w:rsidR="00D0211C" w:rsidRPr="00D0211C">
              <w:rPr>
                <w:rStyle w:val="Hyperlink"/>
                <w:color w:val="auto"/>
                <w:u w:val="none"/>
              </w:rPr>
              <w:t xml:space="preserve">To </w:t>
            </w:r>
            <w:r w:rsidR="00D0211C">
              <w:rPr>
                <w:rStyle w:val="Hyperlink"/>
                <w:color w:val="auto"/>
                <w:u w:val="none"/>
              </w:rPr>
              <w:t xml:space="preserve">determine potential cost savings and to </w:t>
            </w:r>
            <w:r w:rsidR="00D0211C" w:rsidRPr="00D0211C">
              <w:rPr>
                <w:rStyle w:val="Hyperlink"/>
                <w:color w:val="auto"/>
                <w:u w:val="none"/>
              </w:rPr>
              <w:t xml:space="preserve">change your rate, you will need to contact PG&amp;E. </w:t>
            </w:r>
          </w:p>
          <w:p w14:paraId="712A48A2" w14:textId="29739EB5" w:rsidR="00A17471" w:rsidRPr="00887123" w:rsidRDefault="00A17471" w:rsidP="00A17471">
            <w:pPr>
              <w:rPr>
                <w:rFonts w:cs="Arial"/>
                <w:sz w:val="16"/>
                <w:szCs w:val="16"/>
              </w:rPr>
            </w:pPr>
          </w:p>
        </w:tc>
      </w:tr>
      <w:tr w:rsidR="00A17471" w14:paraId="79F7B3C2" w14:textId="77777777" w:rsidTr="00A17471">
        <w:tc>
          <w:tcPr>
            <w:tcW w:w="2178" w:type="dxa"/>
          </w:tcPr>
          <w:p w14:paraId="776238B4" w14:textId="72175767" w:rsidR="00A17471" w:rsidRPr="0033228F" w:rsidRDefault="00A21C68" w:rsidP="00A17471">
            <w:pPr>
              <w:rPr>
                <w:rFonts w:cs="Arial"/>
                <w:b/>
                <w:sz w:val="24"/>
                <w:szCs w:val="24"/>
              </w:rPr>
            </w:pPr>
            <w:r>
              <w:rPr>
                <w:rFonts w:cs="Arial"/>
                <w:b/>
                <w:noProof/>
                <w:sz w:val="24"/>
                <w:szCs w:val="24"/>
              </w:rPr>
              <mc:AlternateContent>
                <mc:Choice Requires="wps">
                  <w:drawing>
                    <wp:anchor distT="0" distB="0" distL="114300" distR="114300" simplePos="0" relativeHeight="251671552" behindDoc="0" locked="0" layoutInCell="1" allowOverlap="1" wp14:anchorId="368286D3" wp14:editId="2CC73A61">
                      <wp:simplePos x="0" y="0"/>
                      <wp:positionH relativeFrom="column">
                        <wp:posOffset>1285875</wp:posOffset>
                      </wp:positionH>
                      <wp:positionV relativeFrom="paragraph">
                        <wp:posOffset>28575</wp:posOffset>
                      </wp:positionV>
                      <wp:extent cx="0" cy="661670"/>
                      <wp:effectExtent l="11430" t="6985" r="7620" b="762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16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59DC1" id="AutoShape 17" o:spid="_x0000_s1026" type="#_x0000_t32" style="position:absolute;margin-left:101.25pt;margin-top:2.25pt;width:0;height:5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" strokeweight="1pt"/>
                  </w:pict>
                </mc:Fallback>
              </mc:AlternateContent>
            </w:r>
            <w:r w:rsidR="00A17471" w:rsidRPr="0033228F">
              <w:rPr>
                <w:rFonts w:cs="Arial"/>
                <w:b/>
                <w:sz w:val="24"/>
                <w:szCs w:val="24"/>
              </w:rPr>
              <w:t>HOV Lane Access</w:t>
            </w:r>
          </w:p>
          <w:p w14:paraId="45930B0B" w14:textId="77777777" w:rsidR="00A17471" w:rsidRDefault="00A17471" w:rsidP="00A17471">
            <w:pPr>
              <w:rPr>
                <w:rFonts w:cs="Arial"/>
              </w:rPr>
            </w:pPr>
          </w:p>
        </w:tc>
        <w:tc>
          <w:tcPr>
            <w:tcW w:w="8262" w:type="dxa"/>
          </w:tcPr>
          <w:p w14:paraId="6628054A" w14:textId="20C8DA3A" w:rsidR="00A17471" w:rsidRDefault="00D0211C" w:rsidP="00A17471">
            <w:pPr>
              <w:rPr>
                <w:rFonts w:cs="Arial"/>
              </w:rPr>
            </w:pPr>
            <w:r>
              <w:rPr>
                <w:rFonts w:cs="Arial"/>
              </w:rPr>
              <w:t xml:space="preserve">EV </w:t>
            </w:r>
            <w:proofErr w:type="gramStart"/>
            <w:r>
              <w:rPr>
                <w:rFonts w:cs="Arial"/>
              </w:rPr>
              <w:t xml:space="preserve">owners </w:t>
            </w:r>
            <w:r w:rsidR="00A17471" w:rsidRPr="00286849">
              <w:rPr>
                <w:rFonts w:cs="Arial"/>
              </w:rPr>
              <w:t xml:space="preserve"> </w:t>
            </w:r>
            <w:r>
              <w:rPr>
                <w:rFonts w:cs="Arial"/>
              </w:rPr>
              <w:t>are</w:t>
            </w:r>
            <w:proofErr w:type="gramEnd"/>
            <w:r>
              <w:rPr>
                <w:rFonts w:cs="Arial"/>
              </w:rPr>
              <w:t xml:space="preserve"> eligible for a</w:t>
            </w:r>
            <w:r w:rsidR="00A17471" w:rsidRPr="00286849">
              <w:rPr>
                <w:rFonts w:cs="Arial"/>
              </w:rPr>
              <w:t xml:space="preserve"> </w:t>
            </w:r>
            <w:r w:rsidR="00A17471">
              <w:rPr>
                <w:rFonts w:cs="Arial"/>
              </w:rPr>
              <w:t xml:space="preserve">limited number of </w:t>
            </w:r>
            <w:r w:rsidR="00A17471" w:rsidRPr="00286849">
              <w:rPr>
                <w:rFonts w:cs="Arial"/>
              </w:rPr>
              <w:t>“Clean Air Vehicle” sticker</w:t>
            </w:r>
            <w:r w:rsidR="00A17471">
              <w:rPr>
                <w:rFonts w:cs="Arial"/>
              </w:rPr>
              <w:t xml:space="preserve">s </w:t>
            </w:r>
            <w:r>
              <w:rPr>
                <w:rFonts w:cs="Arial"/>
              </w:rPr>
              <w:t>which grant access to High Occupancy Vehicle (HOV) lanes and provide</w:t>
            </w:r>
            <w:r w:rsidR="00A17471" w:rsidRPr="00286849">
              <w:rPr>
                <w:rFonts w:cs="Arial"/>
              </w:rPr>
              <w:t xml:space="preserve"> discounts </w:t>
            </w:r>
            <w:r>
              <w:rPr>
                <w:rFonts w:cs="Arial"/>
              </w:rPr>
              <w:t xml:space="preserve">for </w:t>
            </w:r>
            <w:r w:rsidR="00A17471" w:rsidRPr="00286849">
              <w:rPr>
                <w:rFonts w:cs="Arial"/>
              </w:rPr>
              <w:t>tolls in High Occupancy Toll (HOT) lanes</w:t>
            </w:r>
            <w:r w:rsidR="00A17471">
              <w:rPr>
                <w:rFonts w:cs="Arial"/>
              </w:rPr>
              <w:t xml:space="preserve"> to qualified vehicles. Visit </w:t>
            </w:r>
            <w:hyperlink r:id="rId13" w:history="1">
              <w:r w:rsidR="002A6D10" w:rsidRPr="002A6D10">
                <w:rPr>
                  <w:rStyle w:val="Hyperlink"/>
                  <w:rFonts w:cs="Arial"/>
                  <w:b/>
                </w:rPr>
                <w:t xml:space="preserve">DMV.ca.gov </w:t>
              </w:r>
            </w:hyperlink>
            <w:r w:rsidR="00A17471">
              <w:rPr>
                <w:rFonts w:cs="Arial"/>
              </w:rPr>
              <w:t xml:space="preserve"> for more details.</w:t>
            </w:r>
          </w:p>
          <w:p w14:paraId="54689678" w14:textId="77777777" w:rsidR="002A3CAB" w:rsidRDefault="002A3CAB" w:rsidP="00A17471">
            <w:pPr>
              <w:rPr>
                <w:rFonts w:cs="Arial"/>
              </w:rPr>
            </w:pPr>
          </w:p>
          <w:p w14:paraId="351B78D8" w14:textId="2F658EE7" w:rsidR="00A17471" w:rsidRPr="00887123" w:rsidRDefault="00A17471" w:rsidP="00A17471">
            <w:pPr>
              <w:rPr>
                <w:rFonts w:cs="Arial"/>
                <w:sz w:val="16"/>
                <w:szCs w:val="16"/>
              </w:rPr>
            </w:pPr>
          </w:p>
        </w:tc>
      </w:tr>
      <w:tr w:rsidR="00A17471" w14:paraId="4F4E87C2" w14:textId="77777777" w:rsidTr="000E6F33">
        <w:tc>
          <w:tcPr>
            <w:tcW w:w="2178" w:type="dxa"/>
          </w:tcPr>
          <w:p w14:paraId="3D2C4F3D" w14:textId="41B04C58" w:rsidR="00A17471" w:rsidRPr="0033228F" w:rsidRDefault="00A21C68" w:rsidP="00A17471">
            <w:pPr>
              <w:rPr>
                <w:rFonts w:cs="Arial"/>
                <w:b/>
                <w:sz w:val="24"/>
                <w:szCs w:val="24"/>
              </w:rPr>
            </w:pPr>
            <w:r>
              <w:rPr>
                <w:rFonts w:cs="Arial"/>
                <w:b/>
                <w:noProof/>
                <w:sz w:val="24"/>
                <w:szCs w:val="24"/>
              </w:rPr>
              <mc:AlternateContent>
                <mc:Choice Requires="wps">
                  <w:drawing>
                    <wp:anchor distT="0" distB="0" distL="114300" distR="114300" simplePos="0" relativeHeight="251672576" behindDoc="0" locked="0" layoutInCell="1" allowOverlap="1" wp14:anchorId="368286D3" wp14:editId="1B5FB505">
                      <wp:simplePos x="0" y="0"/>
                      <wp:positionH relativeFrom="column">
                        <wp:posOffset>1276350</wp:posOffset>
                      </wp:positionH>
                      <wp:positionV relativeFrom="paragraph">
                        <wp:posOffset>31115</wp:posOffset>
                      </wp:positionV>
                      <wp:extent cx="0" cy="799465"/>
                      <wp:effectExtent l="11430" t="15240" r="7620" b="1397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94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5D813" id="AutoShape 18" o:spid="_x0000_s1026" type="#_x0000_t32" style="position:absolute;margin-left:100.5pt;margin-top:2.45pt;width:0;height:6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bwHQIAADw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" strokeweight="1pt"/>
                  </w:pict>
                </mc:Fallback>
              </mc:AlternateContent>
            </w:r>
            <w:r w:rsidR="00A17471" w:rsidRPr="0033228F">
              <w:rPr>
                <w:rFonts w:cs="Arial"/>
                <w:b/>
                <w:sz w:val="24"/>
                <w:szCs w:val="24"/>
              </w:rPr>
              <w:t xml:space="preserve">Equipment Incentive </w:t>
            </w:r>
          </w:p>
          <w:p w14:paraId="2EB809A5" w14:textId="77777777" w:rsidR="00A17471" w:rsidRDefault="00A17471" w:rsidP="00A17471">
            <w:pPr>
              <w:rPr>
                <w:rFonts w:cs="Arial"/>
              </w:rPr>
            </w:pPr>
          </w:p>
        </w:tc>
        <w:tc>
          <w:tcPr>
            <w:tcW w:w="8262" w:type="dxa"/>
          </w:tcPr>
          <w:p w14:paraId="7E18D68C" w14:textId="3B149C9C" w:rsidR="00A17471" w:rsidRDefault="00A17471" w:rsidP="00A17471">
            <w:pPr>
              <w:rPr>
                <w:rFonts w:cs="Arial"/>
              </w:rPr>
            </w:pPr>
            <w:r w:rsidRPr="00887123">
              <w:rPr>
                <w:rFonts w:cs="Arial"/>
              </w:rPr>
              <w:t>Most EV owners agree a level 2 charger in the garage is essential</w:t>
            </w:r>
            <w:r w:rsidR="00D0211C">
              <w:rPr>
                <w:rFonts w:cs="Arial"/>
              </w:rPr>
              <w:t xml:space="preserve">, and </w:t>
            </w:r>
            <w:r w:rsidR="002A3CAB">
              <w:rPr>
                <w:rFonts w:cs="Arial"/>
              </w:rPr>
              <w:t>businesses can increase foot traffic by providing charging for customers</w:t>
            </w:r>
            <w:r w:rsidRPr="00887123">
              <w:rPr>
                <w:rFonts w:cs="Arial"/>
              </w:rPr>
              <w:t xml:space="preserve">. Prices range from $400 to </w:t>
            </w:r>
            <w:r w:rsidR="002A3CAB">
              <w:rPr>
                <w:rFonts w:cs="Arial"/>
              </w:rPr>
              <w:t>$5000</w:t>
            </w:r>
            <w:r w:rsidRPr="00887123">
              <w:rPr>
                <w:rFonts w:cs="Arial"/>
              </w:rPr>
              <w:t xml:space="preserve">, plus installation costs anywhere from $200 to several thousand dollars. </w:t>
            </w:r>
            <w:r w:rsidR="00D0211C">
              <w:rPr>
                <w:rFonts w:cs="Arial"/>
              </w:rPr>
              <w:t xml:space="preserve">California offers a variety of equipment incentives that are listed </w:t>
            </w:r>
            <w:hyperlink r:id="rId14" w:history="1">
              <w:r w:rsidR="00D0211C" w:rsidRPr="00D0211C">
                <w:rPr>
                  <w:rStyle w:val="Hyperlink"/>
                  <w:rFonts w:cs="Arial"/>
                </w:rPr>
                <w:t>here</w:t>
              </w:r>
            </w:hyperlink>
            <w:r w:rsidR="00D0211C">
              <w:rPr>
                <w:rFonts w:cs="Arial"/>
              </w:rPr>
              <w:t xml:space="preserve">. The California Electric Vehicle Incentive Project will be rolling-out in Humboldt County in </w:t>
            </w:r>
            <w:proofErr w:type="gramStart"/>
            <w:r w:rsidR="00D0211C">
              <w:rPr>
                <w:rFonts w:cs="Arial"/>
              </w:rPr>
              <w:t>April 2019</w:t>
            </w:r>
            <w:r w:rsidR="002A3CAB">
              <w:rPr>
                <w:rFonts w:cs="Arial"/>
              </w:rPr>
              <w:t>, and</w:t>
            </w:r>
            <w:proofErr w:type="gramEnd"/>
            <w:r w:rsidR="002A3CAB">
              <w:rPr>
                <w:rFonts w:cs="Arial"/>
              </w:rPr>
              <w:t xml:space="preserve"> will provide additional discounts. </w:t>
            </w:r>
          </w:p>
          <w:p w14:paraId="6556D5A2" w14:textId="285FCBC4" w:rsidR="00A17471" w:rsidRPr="00887123" w:rsidRDefault="00A17471" w:rsidP="00A17471">
            <w:pPr>
              <w:rPr>
                <w:rFonts w:cs="Arial"/>
                <w:sz w:val="16"/>
                <w:szCs w:val="16"/>
              </w:rPr>
            </w:pPr>
          </w:p>
        </w:tc>
      </w:tr>
      <w:tr w:rsidR="00A17471" w14:paraId="59DC6848" w14:textId="77777777" w:rsidTr="000E6F33">
        <w:tc>
          <w:tcPr>
            <w:tcW w:w="2178" w:type="dxa"/>
          </w:tcPr>
          <w:p w14:paraId="232E3DF2" w14:textId="24935CDC" w:rsidR="00A17471" w:rsidRPr="00E07446" w:rsidRDefault="00A21C68" w:rsidP="00A17471">
            <w:pPr>
              <w:rPr>
                <w:rFonts w:ascii="Times New Roman" w:eastAsia="Times New Roman" w:hAnsi="Times New Roman" w:cs="Times New Roman"/>
                <w:b/>
                <w:snapToGrid w:val="0"/>
                <w:color w:val="000000"/>
                <w:w w:val="0"/>
                <w:sz w:val="24"/>
                <w:szCs w:val="24"/>
                <w:u w:color="000000"/>
                <w:bdr w:val="none" w:sz="0" w:space="0" w:color="000000"/>
                <w:shd w:val="clear" w:color="000000" w:fill="000000"/>
              </w:rPr>
            </w:pPr>
            <w:r>
              <w:rPr>
                <w:rFonts w:cs="Arial"/>
                <w:b/>
                <w:noProof/>
                <w:sz w:val="24"/>
                <w:szCs w:val="24"/>
              </w:rPr>
              <mc:AlternateContent>
                <mc:Choice Requires="wps">
                  <w:drawing>
                    <wp:anchor distT="0" distB="0" distL="114300" distR="114300" simplePos="0" relativeHeight="251673600" behindDoc="0" locked="0" layoutInCell="1" allowOverlap="1" wp14:anchorId="3F11A686" wp14:editId="21110256">
                      <wp:simplePos x="0" y="0"/>
                      <wp:positionH relativeFrom="column">
                        <wp:posOffset>1285875</wp:posOffset>
                      </wp:positionH>
                      <wp:positionV relativeFrom="paragraph">
                        <wp:posOffset>25400</wp:posOffset>
                      </wp:positionV>
                      <wp:extent cx="635" cy="493395"/>
                      <wp:effectExtent l="11430" t="15240" r="6985" b="1524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33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40F8D" id="AutoShape 19" o:spid="_x0000_s1026" type="#_x0000_t32" style="position:absolute;margin-left:101.25pt;margin-top:2pt;width:.05pt;height:3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6EIA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" strokeweight="1pt"/>
                  </w:pict>
                </mc:Fallback>
              </mc:AlternateContent>
            </w:r>
            <w:r w:rsidR="00A17471">
              <w:rPr>
                <w:rFonts w:cs="Arial"/>
                <w:b/>
                <w:sz w:val="24"/>
                <w:szCs w:val="24"/>
              </w:rPr>
              <w:t>Insurance Discount</w:t>
            </w:r>
          </w:p>
          <w:p w14:paraId="6DB58680" w14:textId="32C2C1B4" w:rsidR="00A17471" w:rsidRDefault="00A17471" w:rsidP="00A17471">
            <w:pPr>
              <w:rPr>
                <w:rFonts w:cs="Arial"/>
                <w:b/>
                <w:noProof/>
                <w:sz w:val="24"/>
                <w:szCs w:val="24"/>
              </w:rPr>
            </w:pPr>
          </w:p>
        </w:tc>
        <w:tc>
          <w:tcPr>
            <w:tcW w:w="8262" w:type="dxa"/>
          </w:tcPr>
          <w:p w14:paraId="400B2988" w14:textId="2CD91516" w:rsidR="00A17471" w:rsidRDefault="00A17471" w:rsidP="00A17471">
            <w:pPr>
              <w:rPr>
                <w:rFonts w:cs="Arial"/>
                <w:b/>
              </w:rPr>
            </w:pPr>
            <w:r w:rsidRPr="00286849">
              <w:rPr>
                <w:rFonts w:cs="Arial"/>
              </w:rPr>
              <w:t xml:space="preserve">Even after driving off the lot, the saving continues. Farmers Insurance offers a </w:t>
            </w:r>
            <w:r w:rsidRPr="00B81D27">
              <w:rPr>
                <w:rFonts w:cs="Arial"/>
                <w:b/>
              </w:rPr>
              <w:t>10% discount</w:t>
            </w:r>
            <w:r w:rsidRPr="00286849">
              <w:rPr>
                <w:rFonts w:cs="Arial"/>
              </w:rPr>
              <w:t xml:space="preserve"> to drivers of</w:t>
            </w:r>
            <w:r>
              <w:rPr>
                <w:rFonts w:cs="Arial"/>
              </w:rPr>
              <w:t xml:space="preserve"> Alternative Fuel Vehicles (AFV</w:t>
            </w:r>
            <w:r w:rsidRPr="00286849">
              <w:rPr>
                <w:rFonts w:cs="Arial"/>
              </w:rPr>
              <w:t xml:space="preserve">s). Guess what? That new battery powered car is </w:t>
            </w:r>
            <w:proofErr w:type="gramStart"/>
            <w:r w:rsidRPr="00286849">
              <w:rPr>
                <w:rFonts w:cs="Arial"/>
              </w:rPr>
              <w:t>pretty alternative</w:t>
            </w:r>
            <w:proofErr w:type="gramEnd"/>
            <w:r w:rsidRPr="00286849">
              <w:rPr>
                <w:rFonts w:cs="Arial"/>
              </w:rPr>
              <w:t xml:space="preserve">. </w:t>
            </w:r>
            <w:r>
              <w:rPr>
                <w:rFonts w:cs="Arial"/>
              </w:rPr>
              <w:t xml:space="preserve">See details at </w:t>
            </w:r>
            <w:hyperlink r:id="rId15" w:history="1">
              <w:r w:rsidRPr="00B538C3">
                <w:rPr>
                  <w:rStyle w:val="Hyperlink"/>
                  <w:rFonts w:cs="Arial"/>
                  <w:b/>
                </w:rPr>
                <w:t>farmers.com/</w:t>
              </w:r>
              <w:proofErr w:type="spellStart"/>
              <w:r w:rsidRPr="00B538C3">
                <w:rPr>
                  <w:rStyle w:val="Hyperlink"/>
                  <w:rFonts w:cs="Arial"/>
                  <w:b/>
                </w:rPr>
                <w:t>california</w:t>
              </w:r>
              <w:proofErr w:type="spellEnd"/>
            </w:hyperlink>
            <w:r>
              <w:rPr>
                <w:rFonts w:cs="Arial"/>
                <w:b/>
              </w:rPr>
              <w:t>.</w:t>
            </w:r>
          </w:p>
          <w:p w14:paraId="67F5C03A" w14:textId="77777777" w:rsidR="00A17471" w:rsidRPr="00887123" w:rsidRDefault="00A17471" w:rsidP="00A17471">
            <w:pPr>
              <w:rPr>
                <w:rFonts w:cs="Arial"/>
              </w:rPr>
            </w:pPr>
          </w:p>
        </w:tc>
      </w:tr>
    </w:tbl>
    <w:p w14:paraId="326780E5" w14:textId="25D38D88" w:rsidR="004B0C12" w:rsidRDefault="00A21C68" w:rsidP="002A6D10">
      <w:pPr>
        <w:tabs>
          <w:tab w:val="left" w:pos="950"/>
          <w:tab w:val="center" w:pos="5112"/>
        </w:tabs>
        <w:spacing w:line="240" w:lineRule="auto"/>
        <w:rPr>
          <w:rFonts w:cs="Arial"/>
          <w:sz w:val="28"/>
          <w:szCs w:val="28"/>
        </w:rPr>
      </w:pPr>
      <w:r>
        <w:rPr>
          <w:noProof/>
        </w:rPr>
        <w:lastRenderedPageBreak/>
        <mc:AlternateContent>
          <mc:Choice Requires="wps">
            <w:drawing>
              <wp:anchor distT="45720" distB="45720" distL="114300" distR="114300" simplePos="0" relativeHeight="251682816" behindDoc="0" locked="0" layoutInCell="1" allowOverlap="0" wp14:anchorId="3A5C0CC3" wp14:editId="055A34B9">
                <wp:simplePos x="0" y="0"/>
                <wp:positionH relativeFrom="margin">
                  <wp:posOffset>843915</wp:posOffset>
                </wp:positionH>
                <wp:positionV relativeFrom="paragraph">
                  <wp:posOffset>0</wp:posOffset>
                </wp:positionV>
                <wp:extent cx="5367528" cy="448056"/>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448056"/>
                        </a:xfrm>
                        <a:prstGeom prst="rect">
                          <a:avLst/>
                        </a:prstGeom>
                        <a:noFill/>
                        <a:ln>
                          <a:noFill/>
                        </a:ln>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E4668" w14:textId="4EBD31C3" w:rsidR="004B0C12" w:rsidRPr="007F1D23" w:rsidRDefault="004B0C12" w:rsidP="002A3CAB">
                            <w:pPr>
                              <w:jc w:val="center"/>
                              <w:rPr>
                                <w:b/>
                                <w:color w:val="1F497D" w:themeColor="text2"/>
                                <w:sz w:val="44"/>
                                <w:szCs w:val="44"/>
                                <w:u w:val="single"/>
                              </w:rPr>
                            </w:pPr>
                            <w:r w:rsidRPr="007F1D23">
                              <w:rPr>
                                <w:b/>
                                <w:color w:val="1F497D" w:themeColor="text2"/>
                                <w:sz w:val="44"/>
                                <w:szCs w:val="44"/>
                                <w:u w:val="single"/>
                              </w:rPr>
                              <w:t>Sample Costs after Incentives</w:t>
                            </w:r>
                            <w:r w:rsidR="002A3CAB">
                              <w:rPr>
                                <w:b/>
                                <w:color w:val="1F497D" w:themeColor="text2"/>
                                <w:sz w:val="44"/>
                                <w:szCs w:val="44"/>
                                <w:u w:val="single"/>
                              </w:rPr>
                              <w:t xml:space="preserve"> (2018 models)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5C0CC3" id="_x0000_t202" coordsize="21600,21600" o:spt="202" path="m,l,21600r21600,l21600,xe">
                <v:stroke joinstyle="miter"/>
                <v:path gradientshapeok="t" o:connecttype="rect"/>
              </v:shapetype>
              <v:shape id="Text Box 2" o:spid="_x0000_s1026" type="#_x0000_t202" style="position:absolute;margin-left:66.45pt;margin-top:0;width:422.65pt;height:35.3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" o:allowoverlap="f" filled="f" fillcolor="#1f497d [3215]" stroked="f">
                <v:textbox>
                  <w:txbxContent>
                    <w:p w14:paraId="77FE4668" w14:textId="4EBD31C3" w:rsidR="004B0C12" w:rsidRPr="007F1D23" w:rsidRDefault="004B0C12" w:rsidP="002A3CAB">
                      <w:pPr>
                        <w:jc w:val="center"/>
                        <w:rPr>
                          <w:b/>
                          <w:color w:val="1F497D" w:themeColor="text2"/>
                          <w:sz w:val="44"/>
                          <w:szCs w:val="44"/>
                          <w:u w:val="single"/>
                        </w:rPr>
                      </w:pPr>
                      <w:r w:rsidRPr="007F1D23">
                        <w:rPr>
                          <w:b/>
                          <w:color w:val="1F497D" w:themeColor="text2"/>
                          <w:sz w:val="44"/>
                          <w:szCs w:val="44"/>
                          <w:u w:val="single"/>
                        </w:rPr>
                        <w:t>Sample Costs after Incentives</w:t>
                      </w:r>
                      <w:r w:rsidR="002A3CAB">
                        <w:rPr>
                          <w:b/>
                          <w:color w:val="1F497D" w:themeColor="text2"/>
                          <w:sz w:val="44"/>
                          <w:szCs w:val="44"/>
                          <w:u w:val="single"/>
                        </w:rPr>
                        <w:t xml:space="preserve"> (2018 models)</w:t>
                      </w:r>
                    </w:p>
                  </w:txbxContent>
                </v:textbox>
                <w10:wrap type="square" anchorx="margin"/>
              </v:shape>
            </w:pict>
          </mc:Fallback>
        </mc:AlternateContent>
      </w:r>
    </w:p>
    <w:tbl>
      <w:tblPr>
        <w:tblStyle w:val="TableGrid"/>
        <w:tblpPr w:leftFromText="180" w:rightFromText="180" w:vertAnchor="page" w:horzAnchor="margin" w:tblpXSpec="center" w:tblpY="1523"/>
        <w:tblW w:w="102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68"/>
        <w:gridCol w:w="2394"/>
        <w:gridCol w:w="2178"/>
        <w:gridCol w:w="1998"/>
        <w:gridCol w:w="2322"/>
      </w:tblGrid>
      <w:tr w:rsidR="002A3CAB" w:rsidRPr="003E33A0" w14:paraId="72E0236E" w14:textId="77777777" w:rsidTr="00116FA8">
        <w:trPr>
          <w:trHeight w:val="3240"/>
        </w:trPr>
        <w:tc>
          <w:tcPr>
            <w:tcW w:w="1368" w:type="dxa"/>
            <w:tcBorders>
              <w:bottom w:val="nil"/>
              <w:right w:val="nil"/>
            </w:tcBorders>
          </w:tcPr>
          <w:p w14:paraId="6146FDB1" w14:textId="77777777" w:rsidR="002A3CAB" w:rsidRPr="003E33A0" w:rsidRDefault="002A3CAB" w:rsidP="003E33A0">
            <w:pPr>
              <w:rPr>
                <w:sz w:val="20"/>
              </w:rPr>
            </w:pPr>
          </w:p>
        </w:tc>
        <w:tc>
          <w:tcPr>
            <w:tcW w:w="2394" w:type="dxa"/>
            <w:tcBorders>
              <w:top w:val="nil"/>
              <w:left w:val="nil"/>
              <w:bottom w:val="nil"/>
              <w:right w:val="nil"/>
            </w:tcBorders>
          </w:tcPr>
          <w:p w14:paraId="7B7F57D3" w14:textId="77777777" w:rsidR="002A3CAB" w:rsidRPr="003E33A0" w:rsidRDefault="002A3CAB" w:rsidP="003E33A0">
            <w:pPr>
              <w:rPr>
                <w:sz w:val="36"/>
                <w:szCs w:val="44"/>
              </w:rPr>
            </w:pPr>
          </w:p>
          <w:p w14:paraId="5F592267" w14:textId="77777777" w:rsidR="002A3CAB" w:rsidRPr="003E33A0" w:rsidRDefault="002A3CAB" w:rsidP="003E33A0">
            <w:pPr>
              <w:rPr>
                <w:sz w:val="36"/>
                <w:szCs w:val="44"/>
              </w:rPr>
            </w:pPr>
            <w:r w:rsidRPr="003E33A0">
              <w:rPr>
                <w:noProof/>
                <w:sz w:val="36"/>
              </w:rPr>
              <w:drawing>
                <wp:anchor distT="0" distB="0" distL="114300" distR="114300" simplePos="0" relativeHeight="251686912" behindDoc="0" locked="0" layoutInCell="1" allowOverlap="1" wp14:anchorId="1360C3CB" wp14:editId="024400CA">
                  <wp:simplePos x="0" y="0"/>
                  <wp:positionH relativeFrom="column">
                    <wp:posOffset>-40005</wp:posOffset>
                  </wp:positionH>
                  <wp:positionV relativeFrom="paragraph">
                    <wp:posOffset>386080</wp:posOffset>
                  </wp:positionV>
                  <wp:extent cx="1467485" cy="1000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b="8989"/>
                          <a:stretch/>
                        </pic:blipFill>
                        <pic:spPr bwMode="auto">
                          <a:xfrm>
                            <a:off x="0" y="0"/>
                            <a:ext cx="1467485" cy="1000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33A0">
              <w:rPr>
                <w:sz w:val="36"/>
                <w:szCs w:val="44"/>
              </w:rPr>
              <w:t>Nissan Leaf</w:t>
            </w:r>
          </w:p>
        </w:tc>
        <w:tc>
          <w:tcPr>
            <w:tcW w:w="2178" w:type="dxa"/>
            <w:tcBorders>
              <w:top w:val="nil"/>
              <w:left w:val="nil"/>
              <w:bottom w:val="nil"/>
              <w:right w:val="nil"/>
            </w:tcBorders>
          </w:tcPr>
          <w:p w14:paraId="7989A0DB" w14:textId="77777777" w:rsidR="002A3CAB" w:rsidRPr="003E33A0" w:rsidRDefault="002A3CAB" w:rsidP="003E33A0">
            <w:pPr>
              <w:rPr>
                <w:sz w:val="36"/>
                <w:szCs w:val="44"/>
              </w:rPr>
            </w:pPr>
          </w:p>
          <w:p w14:paraId="2FECF0CA" w14:textId="77777777" w:rsidR="002A3CAB" w:rsidRPr="003E33A0" w:rsidRDefault="002A3CAB" w:rsidP="003E33A0">
            <w:pPr>
              <w:rPr>
                <w:sz w:val="36"/>
                <w:szCs w:val="44"/>
              </w:rPr>
            </w:pPr>
            <w:r w:rsidRPr="003E33A0">
              <w:rPr>
                <w:noProof/>
                <w:sz w:val="36"/>
              </w:rPr>
              <w:drawing>
                <wp:anchor distT="0" distB="0" distL="114300" distR="114300" simplePos="0" relativeHeight="251684864" behindDoc="0" locked="0" layoutInCell="1" allowOverlap="1" wp14:anchorId="05DF0826" wp14:editId="58484736">
                  <wp:simplePos x="0" y="0"/>
                  <wp:positionH relativeFrom="column">
                    <wp:posOffset>-47625</wp:posOffset>
                  </wp:positionH>
                  <wp:positionV relativeFrom="paragraph">
                    <wp:posOffset>1071880</wp:posOffset>
                  </wp:positionV>
                  <wp:extent cx="1323975" cy="751840"/>
                  <wp:effectExtent l="0" t="0" r="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252" t="11693" r="2882" b="15646"/>
                          <a:stretch/>
                        </pic:blipFill>
                        <pic:spPr bwMode="auto">
                          <a:xfrm>
                            <a:off x="0" y="0"/>
                            <a:ext cx="1323975" cy="751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33A0">
              <w:rPr>
                <w:sz w:val="36"/>
                <w:szCs w:val="44"/>
              </w:rPr>
              <w:t>Chevy Volt</w:t>
            </w:r>
          </w:p>
        </w:tc>
        <w:tc>
          <w:tcPr>
            <w:tcW w:w="1998" w:type="dxa"/>
            <w:tcBorders>
              <w:top w:val="nil"/>
              <w:left w:val="nil"/>
              <w:bottom w:val="nil"/>
              <w:right w:val="nil"/>
            </w:tcBorders>
          </w:tcPr>
          <w:p w14:paraId="2FDE3958" w14:textId="77777777" w:rsidR="002A3CAB" w:rsidRPr="003E33A0" w:rsidRDefault="002A3CAB" w:rsidP="003E33A0">
            <w:pPr>
              <w:rPr>
                <w:sz w:val="36"/>
                <w:szCs w:val="44"/>
              </w:rPr>
            </w:pPr>
          </w:p>
          <w:p w14:paraId="7B4AB524" w14:textId="77777777" w:rsidR="002A3CAB" w:rsidRPr="003E33A0" w:rsidRDefault="002A3CAB" w:rsidP="003E33A0">
            <w:pPr>
              <w:rPr>
                <w:sz w:val="36"/>
                <w:szCs w:val="44"/>
              </w:rPr>
            </w:pPr>
            <w:r w:rsidRPr="003E33A0">
              <w:rPr>
                <w:noProof/>
                <w:sz w:val="36"/>
              </w:rPr>
              <w:drawing>
                <wp:anchor distT="0" distB="0" distL="114300" distR="114300" simplePos="0" relativeHeight="251685888" behindDoc="0" locked="0" layoutInCell="1" allowOverlap="1" wp14:anchorId="67E0D64C" wp14:editId="3789FD8C">
                  <wp:simplePos x="0" y="0"/>
                  <wp:positionH relativeFrom="column">
                    <wp:posOffset>-39370</wp:posOffset>
                  </wp:positionH>
                  <wp:positionV relativeFrom="paragraph">
                    <wp:posOffset>633730</wp:posOffset>
                  </wp:positionV>
                  <wp:extent cx="1237615" cy="619125"/>
                  <wp:effectExtent l="0" t="0" r="0" b="0"/>
                  <wp:wrapSquare wrapText="bothSides"/>
                  <wp:docPr id="7" name="Picture 7" descr="Image result for 2018 chevy b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2018 chevy bol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761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3A0">
              <w:rPr>
                <w:sz w:val="36"/>
                <w:szCs w:val="44"/>
              </w:rPr>
              <w:t>Chevy Bolt</w:t>
            </w:r>
          </w:p>
        </w:tc>
        <w:tc>
          <w:tcPr>
            <w:tcW w:w="2322" w:type="dxa"/>
            <w:tcBorders>
              <w:top w:val="nil"/>
              <w:left w:val="nil"/>
              <w:bottom w:val="nil"/>
            </w:tcBorders>
          </w:tcPr>
          <w:p w14:paraId="7C140D8D" w14:textId="77777777" w:rsidR="002A3CAB" w:rsidRPr="003E33A0" w:rsidRDefault="002A3CAB" w:rsidP="003E33A0">
            <w:pPr>
              <w:rPr>
                <w:sz w:val="36"/>
                <w:szCs w:val="44"/>
              </w:rPr>
            </w:pPr>
          </w:p>
          <w:p w14:paraId="2858D495" w14:textId="77777777" w:rsidR="002A3CAB" w:rsidRPr="003E33A0" w:rsidRDefault="002A3CAB" w:rsidP="003E33A0">
            <w:pPr>
              <w:rPr>
                <w:sz w:val="36"/>
                <w:szCs w:val="44"/>
              </w:rPr>
            </w:pPr>
            <w:r w:rsidRPr="003E33A0">
              <w:rPr>
                <w:noProof/>
                <w:sz w:val="36"/>
              </w:rPr>
              <w:drawing>
                <wp:anchor distT="0" distB="0" distL="114300" distR="114300" simplePos="0" relativeHeight="251687936" behindDoc="1" locked="0" layoutInCell="1" allowOverlap="1" wp14:anchorId="43D0B8D4" wp14:editId="394F761B">
                  <wp:simplePos x="0" y="0"/>
                  <wp:positionH relativeFrom="column">
                    <wp:posOffset>-68580</wp:posOffset>
                  </wp:positionH>
                  <wp:positionV relativeFrom="paragraph">
                    <wp:posOffset>995680</wp:posOffset>
                  </wp:positionV>
                  <wp:extent cx="1499606" cy="909320"/>
                  <wp:effectExtent l="0" t="0" r="0" b="0"/>
                  <wp:wrapTight wrapText="bothSides">
                    <wp:wrapPolygon edited="0">
                      <wp:start x="0" y="0"/>
                      <wp:lineTo x="0" y="21268"/>
                      <wp:lineTo x="21408" y="21268"/>
                      <wp:lineTo x="21408" y="0"/>
                      <wp:lineTo x="0" y="0"/>
                    </wp:wrapPolygon>
                  </wp:wrapTight>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802" r="5200" b="2877"/>
                          <a:stretch/>
                        </pic:blipFill>
                        <pic:spPr bwMode="auto">
                          <a:xfrm>
                            <a:off x="0" y="0"/>
                            <a:ext cx="1499606" cy="909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33A0">
              <w:rPr>
                <w:sz w:val="36"/>
                <w:szCs w:val="44"/>
              </w:rPr>
              <w:t xml:space="preserve">Mitsubishi Outlander </w:t>
            </w:r>
          </w:p>
        </w:tc>
      </w:tr>
      <w:tr w:rsidR="002A3CAB" w:rsidRPr="003E33A0" w14:paraId="5C6FCB80" w14:textId="77777777" w:rsidTr="00116FA8">
        <w:trPr>
          <w:trHeight w:val="1157"/>
        </w:trPr>
        <w:tc>
          <w:tcPr>
            <w:tcW w:w="1368" w:type="dxa"/>
            <w:tcBorders>
              <w:top w:val="nil"/>
              <w:bottom w:val="nil"/>
              <w:right w:val="single" w:sz="4" w:space="0" w:color="auto"/>
            </w:tcBorders>
            <w:vAlign w:val="center"/>
          </w:tcPr>
          <w:p w14:paraId="1BBC21DB" w14:textId="77777777" w:rsidR="002A3CAB" w:rsidRPr="003E33A0" w:rsidRDefault="002A3CAB" w:rsidP="003E33A0">
            <w:pPr>
              <w:rPr>
                <w:sz w:val="28"/>
                <w:szCs w:val="32"/>
              </w:rPr>
            </w:pPr>
            <w:r w:rsidRPr="003E33A0">
              <w:rPr>
                <w:sz w:val="28"/>
                <w:szCs w:val="32"/>
              </w:rPr>
              <w:t>MSRP</w:t>
            </w:r>
          </w:p>
        </w:tc>
        <w:tc>
          <w:tcPr>
            <w:tcW w:w="2394" w:type="dxa"/>
            <w:tcBorders>
              <w:top w:val="nil"/>
              <w:left w:val="single" w:sz="4" w:space="0" w:color="auto"/>
              <w:bottom w:val="nil"/>
              <w:right w:val="single" w:sz="4" w:space="0" w:color="auto"/>
            </w:tcBorders>
            <w:vAlign w:val="center"/>
          </w:tcPr>
          <w:p w14:paraId="1B6BA1CE" w14:textId="77777777" w:rsidR="002A3CAB" w:rsidRPr="003E33A0" w:rsidRDefault="002A3CAB" w:rsidP="003E33A0">
            <w:pPr>
              <w:rPr>
                <w:sz w:val="32"/>
                <w:szCs w:val="36"/>
              </w:rPr>
            </w:pPr>
            <w:r w:rsidRPr="003E33A0">
              <w:rPr>
                <w:sz w:val="32"/>
                <w:szCs w:val="36"/>
              </w:rPr>
              <w:t>$29,990</w:t>
            </w:r>
          </w:p>
        </w:tc>
        <w:tc>
          <w:tcPr>
            <w:tcW w:w="2178" w:type="dxa"/>
            <w:tcBorders>
              <w:top w:val="nil"/>
              <w:left w:val="single" w:sz="4" w:space="0" w:color="auto"/>
              <w:bottom w:val="nil"/>
              <w:right w:val="single" w:sz="4" w:space="0" w:color="auto"/>
            </w:tcBorders>
            <w:vAlign w:val="center"/>
          </w:tcPr>
          <w:p w14:paraId="0B2B2E1C" w14:textId="77777777" w:rsidR="002A3CAB" w:rsidRPr="003E33A0" w:rsidRDefault="002A3CAB" w:rsidP="003E33A0">
            <w:pPr>
              <w:rPr>
                <w:sz w:val="32"/>
                <w:szCs w:val="36"/>
              </w:rPr>
            </w:pPr>
            <w:r w:rsidRPr="003E33A0">
              <w:rPr>
                <w:sz w:val="32"/>
                <w:szCs w:val="36"/>
              </w:rPr>
              <w:t>$33,220</w:t>
            </w:r>
          </w:p>
        </w:tc>
        <w:tc>
          <w:tcPr>
            <w:tcW w:w="1998" w:type="dxa"/>
            <w:tcBorders>
              <w:top w:val="nil"/>
              <w:left w:val="single" w:sz="4" w:space="0" w:color="auto"/>
              <w:bottom w:val="nil"/>
              <w:right w:val="single" w:sz="4" w:space="0" w:color="auto"/>
            </w:tcBorders>
            <w:vAlign w:val="center"/>
          </w:tcPr>
          <w:p w14:paraId="1294AC96" w14:textId="77777777" w:rsidR="002A3CAB" w:rsidRPr="003E33A0" w:rsidRDefault="002A3CAB" w:rsidP="003E33A0">
            <w:pPr>
              <w:rPr>
                <w:sz w:val="32"/>
                <w:szCs w:val="36"/>
              </w:rPr>
            </w:pPr>
            <w:r w:rsidRPr="003E33A0">
              <w:rPr>
                <w:sz w:val="32"/>
                <w:szCs w:val="36"/>
              </w:rPr>
              <w:t>$36,620</w:t>
            </w:r>
          </w:p>
        </w:tc>
        <w:tc>
          <w:tcPr>
            <w:tcW w:w="2322" w:type="dxa"/>
            <w:tcBorders>
              <w:top w:val="nil"/>
              <w:left w:val="single" w:sz="4" w:space="0" w:color="auto"/>
              <w:bottom w:val="nil"/>
            </w:tcBorders>
            <w:vAlign w:val="center"/>
          </w:tcPr>
          <w:p w14:paraId="6CADA3BF" w14:textId="77777777" w:rsidR="002A3CAB" w:rsidRPr="003E33A0" w:rsidRDefault="002A3CAB" w:rsidP="003E33A0">
            <w:pPr>
              <w:rPr>
                <w:sz w:val="32"/>
                <w:szCs w:val="36"/>
              </w:rPr>
            </w:pPr>
            <w:r w:rsidRPr="003E33A0">
              <w:rPr>
                <w:sz w:val="32"/>
                <w:szCs w:val="36"/>
              </w:rPr>
              <w:t>$34,595</w:t>
            </w:r>
          </w:p>
        </w:tc>
      </w:tr>
      <w:tr w:rsidR="002A3CAB" w:rsidRPr="003E33A0" w14:paraId="01F3D90B" w14:textId="77777777" w:rsidTr="00116FA8">
        <w:trPr>
          <w:trHeight w:val="1247"/>
        </w:trPr>
        <w:tc>
          <w:tcPr>
            <w:tcW w:w="1368" w:type="dxa"/>
            <w:tcBorders>
              <w:top w:val="nil"/>
              <w:bottom w:val="nil"/>
              <w:right w:val="single" w:sz="4" w:space="0" w:color="auto"/>
            </w:tcBorders>
            <w:vAlign w:val="center"/>
          </w:tcPr>
          <w:p w14:paraId="47DEC3BE" w14:textId="77777777" w:rsidR="002A3CAB" w:rsidRPr="003E33A0" w:rsidRDefault="002A3CAB" w:rsidP="003E33A0">
            <w:pPr>
              <w:rPr>
                <w:sz w:val="32"/>
                <w:szCs w:val="36"/>
              </w:rPr>
            </w:pPr>
            <w:r w:rsidRPr="003E33A0">
              <w:rPr>
                <w:sz w:val="28"/>
                <w:szCs w:val="32"/>
              </w:rPr>
              <w:t>Federal Tax Credit</w:t>
            </w:r>
            <w:r w:rsidRPr="003E33A0">
              <w:rPr>
                <w:rStyle w:val="FootnoteReference"/>
                <w:rFonts w:cs="Arial"/>
                <w:b/>
                <w:color w:val="1F497D" w:themeColor="text2"/>
                <w:sz w:val="32"/>
                <w:szCs w:val="36"/>
              </w:rPr>
              <w:footnoteReference w:id="1"/>
            </w:r>
          </w:p>
        </w:tc>
        <w:tc>
          <w:tcPr>
            <w:tcW w:w="2394" w:type="dxa"/>
            <w:tcBorders>
              <w:top w:val="nil"/>
              <w:left w:val="single" w:sz="4" w:space="0" w:color="auto"/>
              <w:bottom w:val="nil"/>
              <w:right w:val="single" w:sz="4" w:space="0" w:color="auto"/>
            </w:tcBorders>
            <w:vAlign w:val="center"/>
          </w:tcPr>
          <w:p w14:paraId="48082C7C" w14:textId="77777777" w:rsidR="002A3CAB" w:rsidRPr="003E33A0" w:rsidRDefault="002A3CAB" w:rsidP="003E33A0">
            <w:pPr>
              <w:rPr>
                <w:sz w:val="32"/>
                <w:szCs w:val="36"/>
              </w:rPr>
            </w:pPr>
            <w:r w:rsidRPr="003E33A0">
              <w:rPr>
                <w:sz w:val="32"/>
                <w:szCs w:val="36"/>
              </w:rPr>
              <w:t>-$7,500</w:t>
            </w:r>
          </w:p>
        </w:tc>
        <w:tc>
          <w:tcPr>
            <w:tcW w:w="2178" w:type="dxa"/>
            <w:tcBorders>
              <w:top w:val="nil"/>
              <w:left w:val="single" w:sz="4" w:space="0" w:color="auto"/>
              <w:bottom w:val="nil"/>
              <w:right w:val="single" w:sz="4" w:space="0" w:color="auto"/>
            </w:tcBorders>
            <w:vAlign w:val="center"/>
          </w:tcPr>
          <w:p w14:paraId="7C9F706D" w14:textId="77777777" w:rsidR="002A3CAB" w:rsidRPr="003E33A0" w:rsidRDefault="002A3CAB" w:rsidP="003E33A0">
            <w:pPr>
              <w:rPr>
                <w:sz w:val="32"/>
                <w:szCs w:val="36"/>
              </w:rPr>
            </w:pPr>
            <w:r w:rsidRPr="003E33A0">
              <w:rPr>
                <w:sz w:val="32"/>
                <w:szCs w:val="36"/>
              </w:rPr>
              <w:t>-$7,500</w:t>
            </w:r>
          </w:p>
        </w:tc>
        <w:tc>
          <w:tcPr>
            <w:tcW w:w="1998" w:type="dxa"/>
            <w:tcBorders>
              <w:top w:val="nil"/>
              <w:left w:val="single" w:sz="4" w:space="0" w:color="auto"/>
              <w:bottom w:val="nil"/>
              <w:right w:val="single" w:sz="4" w:space="0" w:color="auto"/>
            </w:tcBorders>
            <w:vAlign w:val="center"/>
          </w:tcPr>
          <w:p w14:paraId="0BA90E92" w14:textId="77777777" w:rsidR="002A3CAB" w:rsidRPr="003E33A0" w:rsidRDefault="002A3CAB" w:rsidP="003E33A0">
            <w:pPr>
              <w:rPr>
                <w:sz w:val="32"/>
                <w:szCs w:val="36"/>
              </w:rPr>
            </w:pPr>
            <w:r w:rsidRPr="003E33A0">
              <w:rPr>
                <w:sz w:val="32"/>
                <w:szCs w:val="36"/>
              </w:rPr>
              <w:t>-$7,500</w:t>
            </w:r>
          </w:p>
        </w:tc>
        <w:tc>
          <w:tcPr>
            <w:tcW w:w="2322" w:type="dxa"/>
            <w:tcBorders>
              <w:top w:val="nil"/>
              <w:left w:val="single" w:sz="4" w:space="0" w:color="auto"/>
              <w:bottom w:val="nil"/>
            </w:tcBorders>
            <w:vAlign w:val="center"/>
          </w:tcPr>
          <w:p w14:paraId="6FA0AC03" w14:textId="77777777" w:rsidR="002A3CAB" w:rsidRPr="003E33A0" w:rsidRDefault="002A3CAB" w:rsidP="003E33A0">
            <w:pPr>
              <w:rPr>
                <w:sz w:val="32"/>
                <w:szCs w:val="36"/>
              </w:rPr>
            </w:pPr>
            <w:r w:rsidRPr="003E33A0">
              <w:rPr>
                <w:sz w:val="32"/>
                <w:szCs w:val="36"/>
              </w:rPr>
              <w:t>-$4,007</w:t>
            </w:r>
          </w:p>
        </w:tc>
      </w:tr>
      <w:tr w:rsidR="002A3CAB" w:rsidRPr="003E33A0" w14:paraId="771115CD" w14:textId="77777777" w:rsidTr="00116FA8">
        <w:trPr>
          <w:trHeight w:val="1572"/>
        </w:trPr>
        <w:tc>
          <w:tcPr>
            <w:tcW w:w="1368" w:type="dxa"/>
            <w:tcBorders>
              <w:top w:val="nil"/>
              <w:bottom w:val="nil"/>
              <w:right w:val="single" w:sz="4" w:space="0" w:color="auto"/>
            </w:tcBorders>
            <w:vAlign w:val="center"/>
          </w:tcPr>
          <w:p w14:paraId="02DA287B" w14:textId="77777777" w:rsidR="002A3CAB" w:rsidRPr="003E33A0" w:rsidRDefault="002A3CAB" w:rsidP="003E33A0">
            <w:pPr>
              <w:rPr>
                <w:sz w:val="32"/>
                <w:szCs w:val="36"/>
              </w:rPr>
            </w:pPr>
            <w:r w:rsidRPr="003E33A0">
              <w:rPr>
                <w:sz w:val="28"/>
                <w:szCs w:val="32"/>
              </w:rPr>
              <w:t>CA CVRP Rebate</w:t>
            </w:r>
            <w:r w:rsidRPr="003E33A0">
              <w:rPr>
                <w:rStyle w:val="FootnoteReference"/>
                <w:rFonts w:cs="Arial"/>
                <w:b/>
                <w:color w:val="1F497D" w:themeColor="text2"/>
                <w:sz w:val="32"/>
                <w:szCs w:val="36"/>
              </w:rPr>
              <w:footnoteReference w:id="2"/>
            </w:r>
          </w:p>
        </w:tc>
        <w:tc>
          <w:tcPr>
            <w:tcW w:w="2394" w:type="dxa"/>
            <w:tcBorders>
              <w:top w:val="nil"/>
              <w:left w:val="single" w:sz="4" w:space="0" w:color="auto"/>
              <w:bottom w:val="nil"/>
              <w:right w:val="single" w:sz="4" w:space="0" w:color="auto"/>
            </w:tcBorders>
            <w:vAlign w:val="center"/>
          </w:tcPr>
          <w:p w14:paraId="064FB3FB" w14:textId="77777777" w:rsidR="002A3CAB" w:rsidRPr="003E33A0" w:rsidRDefault="002A3CAB" w:rsidP="003E33A0">
            <w:pPr>
              <w:rPr>
                <w:sz w:val="32"/>
                <w:szCs w:val="36"/>
              </w:rPr>
            </w:pPr>
            <w:r w:rsidRPr="003E33A0">
              <w:rPr>
                <w:sz w:val="32"/>
                <w:szCs w:val="36"/>
              </w:rPr>
              <w:t>-$2,500</w:t>
            </w:r>
          </w:p>
        </w:tc>
        <w:tc>
          <w:tcPr>
            <w:tcW w:w="2178" w:type="dxa"/>
            <w:tcBorders>
              <w:top w:val="nil"/>
              <w:left w:val="single" w:sz="4" w:space="0" w:color="auto"/>
              <w:bottom w:val="nil"/>
              <w:right w:val="single" w:sz="4" w:space="0" w:color="auto"/>
            </w:tcBorders>
            <w:vAlign w:val="center"/>
          </w:tcPr>
          <w:p w14:paraId="3AB85EA0" w14:textId="77777777" w:rsidR="002A3CAB" w:rsidRPr="003E33A0" w:rsidRDefault="002A3CAB" w:rsidP="003E33A0">
            <w:pPr>
              <w:rPr>
                <w:sz w:val="32"/>
                <w:szCs w:val="36"/>
              </w:rPr>
            </w:pPr>
            <w:r w:rsidRPr="003E33A0">
              <w:rPr>
                <w:sz w:val="32"/>
                <w:szCs w:val="36"/>
              </w:rPr>
              <w:t>-$1,500</w:t>
            </w:r>
          </w:p>
        </w:tc>
        <w:tc>
          <w:tcPr>
            <w:tcW w:w="1998" w:type="dxa"/>
            <w:tcBorders>
              <w:top w:val="nil"/>
              <w:left w:val="single" w:sz="4" w:space="0" w:color="auto"/>
              <w:bottom w:val="nil"/>
              <w:right w:val="single" w:sz="4" w:space="0" w:color="auto"/>
            </w:tcBorders>
            <w:vAlign w:val="center"/>
          </w:tcPr>
          <w:p w14:paraId="4E12E60C" w14:textId="77777777" w:rsidR="002A3CAB" w:rsidRPr="003E33A0" w:rsidRDefault="002A3CAB" w:rsidP="003E33A0">
            <w:pPr>
              <w:rPr>
                <w:sz w:val="32"/>
                <w:szCs w:val="36"/>
              </w:rPr>
            </w:pPr>
            <w:r w:rsidRPr="003E33A0">
              <w:rPr>
                <w:sz w:val="32"/>
                <w:szCs w:val="36"/>
              </w:rPr>
              <w:t>-$2,500</w:t>
            </w:r>
          </w:p>
        </w:tc>
        <w:tc>
          <w:tcPr>
            <w:tcW w:w="2322" w:type="dxa"/>
            <w:tcBorders>
              <w:top w:val="nil"/>
              <w:left w:val="single" w:sz="4" w:space="0" w:color="auto"/>
              <w:bottom w:val="nil"/>
            </w:tcBorders>
            <w:vAlign w:val="center"/>
          </w:tcPr>
          <w:p w14:paraId="461036BF" w14:textId="77777777" w:rsidR="002A3CAB" w:rsidRPr="003E33A0" w:rsidRDefault="002A3CAB" w:rsidP="003E33A0">
            <w:pPr>
              <w:rPr>
                <w:sz w:val="32"/>
                <w:szCs w:val="36"/>
              </w:rPr>
            </w:pPr>
            <w:r w:rsidRPr="003E33A0">
              <w:rPr>
                <w:sz w:val="32"/>
                <w:szCs w:val="36"/>
              </w:rPr>
              <w:t>-$1,500</w:t>
            </w:r>
          </w:p>
        </w:tc>
      </w:tr>
      <w:tr w:rsidR="002A3CAB" w:rsidRPr="003E33A0" w14:paraId="5C960158" w14:textId="77777777" w:rsidTr="00116FA8">
        <w:trPr>
          <w:trHeight w:val="1445"/>
        </w:trPr>
        <w:tc>
          <w:tcPr>
            <w:tcW w:w="1368" w:type="dxa"/>
            <w:tcBorders>
              <w:top w:val="nil"/>
              <w:bottom w:val="nil"/>
              <w:right w:val="single" w:sz="4" w:space="0" w:color="auto"/>
            </w:tcBorders>
            <w:vAlign w:val="center"/>
          </w:tcPr>
          <w:p w14:paraId="657E4033" w14:textId="77777777" w:rsidR="002A3CAB" w:rsidRPr="003E33A0" w:rsidRDefault="002A3CAB" w:rsidP="003E33A0">
            <w:pPr>
              <w:rPr>
                <w:sz w:val="32"/>
                <w:szCs w:val="36"/>
              </w:rPr>
            </w:pPr>
            <w:r w:rsidRPr="003E33A0">
              <w:rPr>
                <w:sz w:val="28"/>
                <w:szCs w:val="32"/>
              </w:rPr>
              <w:t>Cost</w:t>
            </w:r>
            <w:r w:rsidRPr="003E33A0">
              <w:rPr>
                <w:rStyle w:val="FootnoteReference"/>
                <w:rFonts w:cs="Arial"/>
                <w:b/>
                <w:color w:val="1F497D" w:themeColor="text2"/>
                <w:sz w:val="32"/>
                <w:szCs w:val="36"/>
              </w:rPr>
              <w:footnoteReference w:id="3"/>
            </w:r>
          </w:p>
        </w:tc>
        <w:tc>
          <w:tcPr>
            <w:tcW w:w="2394" w:type="dxa"/>
            <w:tcBorders>
              <w:top w:val="nil"/>
              <w:left w:val="single" w:sz="4" w:space="0" w:color="auto"/>
              <w:bottom w:val="nil"/>
              <w:right w:val="single" w:sz="4" w:space="0" w:color="auto"/>
            </w:tcBorders>
            <w:vAlign w:val="center"/>
          </w:tcPr>
          <w:p w14:paraId="3771BF91" w14:textId="77777777" w:rsidR="002A3CAB" w:rsidRPr="003E33A0" w:rsidRDefault="002A3CAB" w:rsidP="003E33A0">
            <w:pPr>
              <w:rPr>
                <w:sz w:val="40"/>
                <w:szCs w:val="44"/>
              </w:rPr>
            </w:pPr>
            <w:r w:rsidRPr="003E33A0">
              <w:rPr>
                <w:sz w:val="40"/>
                <w:szCs w:val="44"/>
              </w:rPr>
              <w:t>$19,990</w:t>
            </w:r>
          </w:p>
        </w:tc>
        <w:tc>
          <w:tcPr>
            <w:tcW w:w="2178" w:type="dxa"/>
            <w:tcBorders>
              <w:top w:val="nil"/>
              <w:left w:val="single" w:sz="4" w:space="0" w:color="auto"/>
              <w:bottom w:val="nil"/>
              <w:right w:val="single" w:sz="4" w:space="0" w:color="auto"/>
            </w:tcBorders>
            <w:vAlign w:val="center"/>
          </w:tcPr>
          <w:p w14:paraId="21CEEBC1" w14:textId="77777777" w:rsidR="002A3CAB" w:rsidRPr="003E33A0" w:rsidRDefault="002A3CAB" w:rsidP="003E33A0">
            <w:pPr>
              <w:rPr>
                <w:sz w:val="40"/>
                <w:szCs w:val="44"/>
              </w:rPr>
            </w:pPr>
            <w:r w:rsidRPr="003E33A0">
              <w:rPr>
                <w:sz w:val="40"/>
                <w:szCs w:val="44"/>
              </w:rPr>
              <w:t>$24,220</w:t>
            </w:r>
          </w:p>
        </w:tc>
        <w:tc>
          <w:tcPr>
            <w:tcW w:w="1998" w:type="dxa"/>
            <w:tcBorders>
              <w:top w:val="nil"/>
              <w:left w:val="single" w:sz="4" w:space="0" w:color="auto"/>
              <w:bottom w:val="nil"/>
              <w:right w:val="single" w:sz="4" w:space="0" w:color="auto"/>
            </w:tcBorders>
            <w:vAlign w:val="center"/>
          </w:tcPr>
          <w:p w14:paraId="1A3708EF" w14:textId="77777777" w:rsidR="002A3CAB" w:rsidRPr="003E33A0" w:rsidRDefault="002A3CAB" w:rsidP="003E33A0">
            <w:pPr>
              <w:rPr>
                <w:sz w:val="40"/>
                <w:szCs w:val="44"/>
              </w:rPr>
            </w:pPr>
            <w:r w:rsidRPr="003E33A0">
              <w:rPr>
                <w:sz w:val="40"/>
                <w:szCs w:val="44"/>
              </w:rPr>
              <w:t>$26,620</w:t>
            </w:r>
          </w:p>
        </w:tc>
        <w:tc>
          <w:tcPr>
            <w:tcW w:w="2322" w:type="dxa"/>
            <w:tcBorders>
              <w:top w:val="nil"/>
              <w:left w:val="single" w:sz="4" w:space="0" w:color="auto"/>
              <w:bottom w:val="nil"/>
            </w:tcBorders>
            <w:vAlign w:val="center"/>
          </w:tcPr>
          <w:p w14:paraId="4C5E66AE" w14:textId="77777777" w:rsidR="002A3CAB" w:rsidRPr="003E33A0" w:rsidRDefault="002A3CAB" w:rsidP="003E33A0">
            <w:pPr>
              <w:rPr>
                <w:sz w:val="40"/>
                <w:szCs w:val="44"/>
              </w:rPr>
            </w:pPr>
            <w:r w:rsidRPr="003E33A0">
              <w:rPr>
                <w:sz w:val="40"/>
                <w:szCs w:val="44"/>
              </w:rPr>
              <w:t>$29,033</w:t>
            </w:r>
          </w:p>
        </w:tc>
      </w:tr>
      <w:tr w:rsidR="002A3CAB" w:rsidRPr="003E33A0" w14:paraId="57CDF5EF" w14:textId="77777777" w:rsidTr="00116FA8">
        <w:trPr>
          <w:trHeight w:val="977"/>
        </w:trPr>
        <w:tc>
          <w:tcPr>
            <w:tcW w:w="1368" w:type="dxa"/>
            <w:tcBorders>
              <w:top w:val="nil"/>
              <w:bottom w:val="nil"/>
              <w:right w:val="single" w:sz="4" w:space="0" w:color="auto"/>
            </w:tcBorders>
            <w:vAlign w:val="center"/>
          </w:tcPr>
          <w:p w14:paraId="01BE6889" w14:textId="77777777" w:rsidR="002A3CAB" w:rsidRPr="003E33A0" w:rsidRDefault="002A3CAB" w:rsidP="003E33A0">
            <w:pPr>
              <w:rPr>
                <w:sz w:val="32"/>
                <w:szCs w:val="36"/>
              </w:rPr>
            </w:pPr>
            <w:r w:rsidRPr="003E33A0">
              <w:rPr>
                <w:sz w:val="28"/>
                <w:szCs w:val="32"/>
              </w:rPr>
              <w:t>All Electric Range</w:t>
            </w:r>
            <w:r w:rsidRPr="003E33A0">
              <w:rPr>
                <w:rStyle w:val="FootnoteReference"/>
                <w:rFonts w:cs="Arial"/>
                <w:b/>
                <w:color w:val="1F497D" w:themeColor="text2"/>
                <w:sz w:val="32"/>
                <w:szCs w:val="36"/>
              </w:rPr>
              <w:footnoteReference w:id="4"/>
            </w:r>
          </w:p>
        </w:tc>
        <w:tc>
          <w:tcPr>
            <w:tcW w:w="2394" w:type="dxa"/>
            <w:tcBorders>
              <w:top w:val="nil"/>
              <w:left w:val="single" w:sz="4" w:space="0" w:color="auto"/>
              <w:bottom w:val="nil"/>
              <w:right w:val="single" w:sz="4" w:space="0" w:color="auto"/>
            </w:tcBorders>
            <w:vAlign w:val="center"/>
          </w:tcPr>
          <w:p w14:paraId="00BD01E7" w14:textId="77777777" w:rsidR="002A3CAB" w:rsidRPr="003E33A0" w:rsidRDefault="002A3CAB" w:rsidP="003E33A0">
            <w:pPr>
              <w:rPr>
                <w:sz w:val="32"/>
                <w:szCs w:val="36"/>
              </w:rPr>
            </w:pPr>
            <w:r w:rsidRPr="003E33A0">
              <w:rPr>
                <w:sz w:val="32"/>
                <w:szCs w:val="36"/>
              </w:rPr>
              <w:t>151 mi.</w:t>
            </w:r>
          </w:p>
          <w:p w14:paraId="6DFE9BE3" w14:textId="77777777" w:rsidR="002A3CAB" w:rsidRPr="003E33A0" w:rsidRDefault="002A3CAB" w:rsidP="003E33A0">
            <w:pPr>
              <w:rPr>
                <w:sz w:val="32"/>
                <w:szCs w:val="36"/>
              </w:rPr>
            </w:pPr>
            <w:r w:rsidRPr="003E33A0">
              <w:rPr>
                <w:sz w:val="32"/>
                <w:szCs w:val="36"/>
              </w:rPr>
              <w:t>BEV</w:t>
            </w:r>
          </w:p>
        </w:tc>
        <w:tc>
          <w:tcPr>
            <w:tcW w:w="2178" w:type="dxa"/>
            <w:tcBorders>
              <w:top w:val="nil"/>
              <w:left w:val="single" w:sz="4" w:space="0" w:color="auto"/>
              <w:bottom w:val="nil"/>
              <w:right w:val="single" w:sz="4" w:space="0" w:color="auto"/>
            </w:tcBorders>
            <w:vAlign w:val="center"/>
          </w:tcPr>
          <w:p w14:paraId="5BAF414D" w14:textId="77777777" w:rsidR="002A3CAB" w:rsidRPr="003E33A0" w:rsidRDefault="002A3CAB" w:rsidP="003E33A0">
            <w:pPr>
              <w:rPr>
                <w:sz w:val="32"/>
                <w:szCs w:val="36"/>
              </w:rPr>
            </w:pPr>
            <w:r w:rsidRPr="003E33A0">
              <w:rPr>
                <w:sz w:val="32"/>
                <w:szCs w:val="36"/>
              </w:rPr>
              <w:t>53 mi. all-electric/420 mi. total</w:t>
            </w:r>
          </w:p>
          <w:p w14:paraId="6D691F15" w14:textId="77777777" w:rsidR="002A3CAB" w:rsidRPr="003E33A0" w:rsidRDefault="002A3CAB" w:rsidP="003E33A0">
            <w:pPr>
              <w:rPr>
                <w:sz w:val="32"/>
                <w:szCs w:val="36"/>
              </w:rPr>
            </w:pPr>
            <w:r w:rsidRPr="003E33A0">
              <w:rPr>
                <w:sz w:val="32"/>
                <w:szCs w:val="36"/>
              </w:rPr>
              <w:t>PHEV</w:t>
            </w:r>
          </w:p>
        </w:tc>
        <w:tc>
          <w:tcPr>
            <w:tcW w:w="1998" w:type="dxa"/>
            <w:tcBorders>
              <w:top w:val="nil"/>
              <w:left w:val="single" w:sz="4" w:space="0" w:color="auto"/>
              <w:bottom w:val="nil"/>
              <w:right w:val="single" w:sz="4" w:space="0" w:color="auto"/>
            </w:tcBorders>
            <w:vAlign w:val="center"/>
          </w:tcPr>
          <w:p w14:paraId="74DA48FC" w14:textId="77777777" w:rsidR="002A3CAB" w:rsidRPr="003E33A0" w:rsidRDefault="002A3CAB" w:rsidP="003E33A0">
            <w:pPr>
              <w:rPr>
                <w:sz w:val="32"/>
                <w:szCs w:val="36"/>
              </w:rPr>
            </w:pPr>
            <w:r w:rsidRPr="003E33A0">
              <w:rPr>
                <w:sz w:val="32"/>
                <w:szCs w:val="36"/>
              </w:rPr>
              <w:t>238 mi.</w:t>
            </w:r>
          </w:p>
          <w:p w14:paraId="752EDC29" w14:textId="77777777" w:rsidR="002A3CAB" w:rsidRPr="003E33A0" w:rsidRDefault="002A3CAB" w:rsidP="003E33A0">
            <w:pPr>
              <w:rPr>
                <w:sz w:val="32"/>
                <w:szCs w:val="36"/>
              </w:rPr>
            </w:pPr>
            <w:r w:rsidRPr="003E33A0">
              <w:rPr>
                <w:sz w:val="32"/>
                <w:szCs w:val="36"/>
              </w:rPr>
              <w:t>BEV</w:t>
            </w:r>
          </w:p>
        </w:tc>
        <w:tc>
          <w:tcPr>
            <w:tcW w:w="2322" w:type="dxa"/>
            <w:tcBorders>
              <w:top w:val="nil"/>
              <w:left w:val="single" w:sz="4" w:space="0" w:color="auto"/>
              <w:bottom w:val="nil"/>
            </w:tcBorders>
            <w:vAlign w:val="center"/>
          </w:tcPr>
          <w:p w14:paraId="21C11166" w14:textId="77777777" w:rsidR="002A3CAB" w:rsidRPr="003E33A0" w:rsidRDefault="002A3CAB" w:rsidP="003E33A0">
            <w:pPr>
              <w:rPr>
                <w:sz w:val="32"/>
                <w:szCs w:val="36"/>
              </w:rPr>
            </w:pPr>
            <w:r w:rsidRPr="003E33A0">
              <w:rPr>
                <w:sz w:val="32"/>
                <w:szCs w:val="36"/>
              </w:rPr>
              <w:t>22 mi. all-electric/400 mi. total</w:t>
            </w:r>
          </w:p>
          <w:p w14:paraId="06C53D51" w14:textId="77777777" w:rsidR="002A3CAB" w:rsidRPr="003E33A0" w:rsidRDefault="002A3CAB" w:rsidP="003E33A0">
            <w:pPr>
              <w:rPr>
                <w:sz w:val="32"/>
                <w:szCs w:val="36"/>
              </w:rPr>
            </w:pPr>
            <w:r w:rsidRPr="003E33A0">
              <w:rPr>
                <w:sz w:val="32"/>
                <w:szCs w:val="36"/>
              </w:rPr>
              <w:t>PHEV</w:t>
            </w:r>
          </w:p>
        </w:tc>
      </w:tr>
    </w:tbl>
    <w:p w14:paraId="2641DDFD" w14:textId="6C2AD5A8" w:rsidR="00A17471" w:rsidRPr="004C666E" w:rsidRDefault="00A17471" w:rsidP="004C666E">
      <w:pPr>
        <w:rPr>
          <w:sz w:val="2"/>
          <w:szCs w:val="2"/>
        </w:rPr>
      </w:pPr>
      <w:bookmarkStart w:id="0" w:name="_GoBack"/>
      <w:bookmarkEnd w:id="0"/>
    </w:p>
    <w:sectPr w:rsidR="00A17471" w:rsidRPr="004C666E" w:rsidSect="00B81D27">
      <w:footerReference w:type="default" r:id="rId2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C4450" w14:textId="77777777" w:rsidR="00701545" w:rsidRDefault="00701545" w:rsidP="00170602">
      <w:pPr>
        <w:spacing w:after="0" w:line="240" w:lineRule="auto"/>
      </w:pPr>
      <w:r>
        <w:separator/>
      </w:r>
    </w:p>
  </w:endnote>
  <w:endnote w:type="continuationSeparator" w:id="0">
    <w:p w14:paraId="3F82705F" w14:textId="77777777" w:rsidR="00701545" w:rsidRDefault="00701545" w:rsidP="00170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9BAB" w14:textId="0FDE8ED1" w:rsidR="00A17471" w:rsidRPr="00A17471" w:rsidRDefault="00A17471" w:rsidP="00A17471">
    <w:pPr>
      <w:spacing w:after="0" w:line="240" w:lineRule="auto"/>
      <w:rPr>
        <w:rFonts w:cs="Arial"/>
        <w:b/>
        <w:sz w:val="20"/>
        <w:szCs w:val="20"/>
      </w:rPr>
    </w:pPr>
    <w:r w:rsidRPr="00A17471">
      <w:rPr>
        <w:rFonts w:cs="Arial"/>
        <w:b/>
        <w:sz w:val="18"/>
        <w:szCs w:val="20"/>
      </w:rPr>
      <w:t xml:space="preserve">DISCLAIMER: </w:t>
    </w:r>
    <w:r w:rsidRPr="00887123">
      <w:rPr>
        <w:rFonts w:cs="Arial"/>
        <w:sz w:val="16"/>
        <w:szCs w:val="16"/>
      </w:rPr>
      <w:t>RCEA does not recommend any one electric vehicle; rather our goal is to see adoption increase across the board. The availability of the above incentives is subject to change, along with the value of each incentive. We suggest checking with each organization to confirm their incentive applies to you and the vehicle you are considering.</w:t>
    </w:r>
  </w:p>
  <w:p w14:paraId="4B156C77" w14:textId="665A5119" w:rsidR="00701545" w:rsidRPr="00A17471" w:rsidRDefault="00A17471">
    <w:pPr>
      <w:pStyle w:val="Footer"/>
      <w:rPr>
        <w:color w:val="262626" w:themeColor="text1" w:themeTint="D9"/>
        <w:sz w:val="18"/>
        <w:szCs w:val="20"/>
      </w:rPr>
    </w:pPr>
    <w:r>
      <w:rPr>
        <w:b/>
        <w:color w:val="262626" w:themeColor="text1" w:themeTint="D9"/>
        <w:sz w:val="18"/>
        <w:szCs w:val="20"/>
      </w:rPr>
      <w:t>DATE OF PUBLICATION</w:t>
    </w:r>
    <w:r w:rsidR="00701545" w:rsidRPr="00A17471">
      <w:rPr>
        <w:b/>
        <w:color w:val="262626" w:themeColor="text1" w:themeTint="D9"/>
        <w:sz w:val="18"/>
        <w:szCs w:val="20"/>
      </w:rPr>
      <w:t>:</w:t>
    </w:r>
    <w:r w:rsidR="00701545" w:rsidRPr="00A17471">
      <w:rPr>
        <w:color w:val="262626" w:themeColor="text1" w:themeTint="D9"/>
        <w:sz w:val="18"/>
        <w:szCs w:val="20"/>
      </w:rPr>
      <w:t xml:space="preserve"> </w:t>
    </w:r>
    <w:r w:rsidR="002A6D10">
      <w:rPr>
        <w:color w:val="262626" w:themeColor="text1" w:themeTint="D9"/>
        <w:sz w:val="16"/>
        <w:szCs w:val="20"/>
      </w:rPr>
      <w:t>12</w:t>
    </w:r>
    <w:r w:rsidR="00701545" w:rsidRPr="00A17471">
      <w:rPr>
        <w:color w:val="262626" w:themeColor="text1" w:themeTint="D9"/>
        <w:sz w:val="16"/>
        <w:szCs w:val="20"/>
      </w:rPr>
      <w:t>/</w:t>
    </w:r>
    <w:r w:rsidR="002A6D10">
      <w:rPr>
        <w:color w:val="262626" w:themeColor="text1" w:themeTint="D9"/>
        <w:sz w:val="16"/>
        <w:szCs w:val="20"/>
      </w:rPr>
      <w:t>07</w:t>
    </w:r>
    <w:r w:rsidR="00701545" w:rsidRPr="00A17471">
      <w:rPr>
        <w:color w:val="262626" w:themeColor="text1" w:themeTint="D9"/>
        <w:sz w:val="16"/>
        <w:szCs w:val="20"/>
      </w:rPr>
      <w:t>/201</w:t>
    </w:r>
    <w:r w:rsidR="00F47C55" w:rsidRPr="00A17471">
      <w:rPr>
        <w:color w:val="262626" w:themeColor="text1" w:themeTint="D9"/>
        <w:sz w:val="16"/>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4749E" w14:textId="77777777" w:rsidR="00701545" w:rsidRDefault="00701545" w:rsidP="00170602">
      <w:pPr>
        <w:spacing w:after="0" w:line="240" w:lineRule="auto"/>
      </w:pPr>
      <w:r>
        <w:separator/>
      </w:r>
    </w:p>
  </w:footnote>
  <w:footnote w:type="continuationSeparator" w:id="0">
    <w:p w14:paraId="4F868924" w14:textId="77777777" w:rsidR="00701545" w:rsidRDefault="00701545" w:rsidP="00170602">
      <w:pPr>
        <w:spacing w:after="0" w:line="240" w:lineRule="auto"/>
      </w:pPr>
      <w:r>
        <w:continuationSeparator/>
      </w:r>
    </w:p>
  </w:footnote>
  <w:footnote w:id="1">
    <w:p w14:paraId="3872C286" w14:textId="77777777" w:rsidR="002A3CAB" w:rsidRPr="004B0C12" w:rsidRDefault="002A3CAB" w:rsidP="002A3CAB">
      <w:pPr>
        <w:spacing w:after="0"/>
        <w:rPr>
          <w:color w:val="1F497D" w:themeColor="text2"/>
          <w:sz w:val="24"/>
          <w:szCs w:val="28"/>
        </w:rPr>
      </w:pPr>
      <w:r>
        <w:rPr>
          <w:rStyle w:val="FootnoteReference"/>
        </w:rPr>
        <w:footnoteRef/>
      </w:r>
      <w:r>
        <w:t xml:space="preserve"> </w:t>
      </w:r>
      <w:r w:rsidRPr="004B0C12">
        <w:rPr>
          <w:color w:val="1F497D" w:themeColor="text2"/>
          <w:sz w:val="24"/>
          <w:szCs w:val="28"/>
        </w:rPr>
        <w:t>Assumes that funding remains. After 200,000 vehicles are sold by a manufacturer, credits are reduced.</w:t>
      </w:r>
    </w:p>
  </w:footnote>
  <w:footnote w:id="2">
    <w:p w14:paraId="259D6AEB" w14:textId="77777777" w:rsidR="002A3CAB" w:rsidRPr="004B0C12" w:rsidRDefault="002A3CAB" w:rsidP="002A3CAB">
      <w:pPr>
        <w:spacing w:after="0"/>
        <w:rPr>
          <w:color w:val="1F497D" w:themeColor="text2"/>
          <w:sz w:val="24"/>
          <w:szCs w:val="28"/>
        </w:rPr>
      </w:pPr>
      <w:r w:rsidRPr="004B0C12">
        <w:rPr>
          <w:rStyle w:val="FootnoteReference"/>
          <w:sz w:val="20"/>
        </w:rPr>
        <w:footnoteRef/>
      </w:r>
      <w:r w:rsidRPr="004B0C12">
        <w:rPr>
          <w:sz w:val="20"/>
        </w:rPr>
        <w:t xml:space="preserve"> </w:t>
      </w:r>
      <w:r w:rsidRPr="004B0C12">
        <w:rPr>
          <w:color w:val="1F497D" w:themeColor="text2"/>
          <w:sz w:val="24"/>
          <w:szCs w:val="28"/>
        </w:rPr>
        <w:t xml:space="preserve">Assumes Individual income is between $35,000 and $250,000. </w:t>
      </w:r>
    </w:p>
  </w:footnote>
  <w:footnote w:id="3">
    <w:p w14:paraId="231B83DA" w14:textId="77777777" w:rsidR="002A3CAB" w:rsidRPr="004B0C12" w:rsidRDefault="002A3CAB" w:rsidP="002A3CAB">
      <w:pPr>
        <w:pStyle w:val="FootnoteText"/>
        <w:rPr>
          <w:sz w:val="18"/>
        </w:rPr>
      </w:pPr>
      <w:r w:rsidRPr="004B0C12">
        <w:rPr>
          <w:rStyle w:val="FootnoteReference"/>
          <w:sz w:val="18"/>
        </w:rPr>
        <w:footnoteRef/>
      </w:r>
      <w:r w:rsidRPr="004B0C12">
        <w:rPr>
          <w:sz w:val="18"/>
        </w:rPr>
        <w:t xml:space="preserve"> </w:t>
      </w:r>
      <w:r w:rsidRPr="004B0C12">
        <w:rPr>
          <w:color w:val="1F497D" w:themeColor="text2"/>
          <w:sz w:val="24"/>
          <w:szCs w:val="28"/>
        </w:rPr>
        <w:t>California Vehicle Assistance Program $5,000 grant is not included.</w:t>
      </w:r>
    </w:p>
  </w:footnote>
  <w:footnote w:id="4">
    <w:p w14:paraId="719E0ACC" w14:textId="77777777" w:rsidR="002A3CAB" w:rsidRDefault="002A3CAB" w:rsidP="002A3CAB">
      <w:pPr>
        <w:pStyle w:val="FootnoteText"/>
      </w:pPr>
      <w:r w:rsidRPr="004B0C12">
        <w:rPr>
          <w:rStyle w:val="FootnoteReference"/>
          <w:sz w:val="18"/>
        </w:rPr>
        <w:footnoteRef/>
      </w:r>
      <w:r w:rsidRPr="004B0C12">
        <w:rPr>
          <w:sz w:val="18"/>
        </w:rPr>
        <w:t xml:space="preserve"> </w:t>
      </w:r>
      <w:r w:rsidRPr="004B0C12">
        <w:rPr>
          <w:color w:val="1F497D" w:themeColor="text2"/>
          <w:sz w:val="24"/>
          <w:szCs w:val="28"/>
        </w:rPr>
        <w:t>Battery electric vehicles (BEVs) rely exclusively on a battery, while plug-in hybrid electric vehicles (PHEVs) incorporate an internal combustion engine (ICE). Range calculations for PHEVs reflect the combined battery/electric range and ICE range.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F6"/>
    <w:rsid w:val="00011852"/>
    <w:rsid w:val="000273C8"/>
    <w:rsid w:val="00040A92"/>
    <w:rsid w:val="00060170"/>
    <w:rsid w:val="000A2A90"/>
    <w:rsid w:val="000A7786"/>
    <w:rsid w:val="000D28D7"/>
    <w:rsid w:val="000D5C6B"/>
    <w:rsid w:val="000E2F4C"/>
    <w:rsid w:val="000E6F33"/>
    <w:rsid w:val="00113464"/>
    <w:rsid w:val="0012157B"/>
    <w:rsid w:val="0012600B"/>
    <w:rsid w:val="00170602"/>
    <w:rsid w:val="001E78F3"/>
    <w:rsid w:val="001F564B"/>
    <w:rsid w:val="00216BF4"/>
    <w:rsid w:val="00222F00"/>
    <w:rsid w:val="0024044D"/>
    <w:rsid w:val="00286849"/>
    <w:rsid w:val="00287B70"/>
    <w:rsid w:val="002A3CAB"/>
    <w:rsid w:val="002A64E9"/>
    <w:rsid w:val="002A6D10"/>
    <w:rsid w:val="002B734D"/>
    <w:rsid w:val="002D3679"/>
    <w:rsid w:val="002E3529"/>
    <w:rsid w:val="0033228F"/>
    <w:rsid w:val="00356D62"/>
    <w:rsid w:val="00365498"/>
    <w:rsid w:val="003C0341"/>
    <w:rsid w:val="003C6F9F"/>
    <w:rsid w:val="003E33A0"/>
    <w:rsid w:val="003E5AB2"/>
    <w:rsid w:val="003F6CE2"/>
    <w:rsid w:val="00406A4E"/>
    <w:rsid w:val="00412954"/>
    <w:rsid w:val="0042147A"/>
    <w:rsid w:val="00456374"/>
    <w:rsid w:val="00470262"/>
    <w:rsid w:val="004A6B7A"/>
    <w:rsid w:val="004B0C12"/>
    <w:rsid w:val="004C666E"/>
    <w:rsid w:val="00537622"/>
    <w:rsid w:val="00591538"/>
    <w:rsid w:val="005B288D"/>
    <w:rsid w:val="005D60E2"/>
    <w:rsid w:val="005E663D"/>
    <w:rsid w:val="006177F4"/>
    <w:rsid w:val="00640415"/>
    <w:rsid w:val="00652D90"/>
    <w:rsid w:val="006674AC"/>
    <w:rsid w:val="006806E2"/>
    <w:rsid w:val="00684E93"/>
    <w:rsid w:val="006A542A"/>
    <w:rsid w:val="006B4CCA"/>
    <w:rsid w:val="006D7013"/>
    <w:rsid w:val="006F2E92"/>
    <w:rsid w:val="00701545"/>
    <w:rsid w:val="007138CC"/>
    <w:rsid w:val="00756F7B"/>
    <w:rsid w:val="007775D8"/>
    <w:rsid w:val="00782C30"/>
    <w:rsid w:val="007D16A0"/>
    <w:rsid w:val="007E1638"/>
    <w:rsid w:val="007E590F"/>
    <w:rsid w:val="007F1D23"/>
    <w:rsid w:val="008404AA"/>
    <w:rsid w:val="00855322"/>
    <w:rsid w:val="008822F6"/>
    <w:rsid w:val="00887123"/>
    <w:rsid w:val="008A60F3"/>
    <w:rsid w:val="008C67DE"/>
    <w:rsid w:val="008E206F"/>
    <w:rsid w:val="0092725A"/>
    <w:rsid w:val="009376BD"/>
    <w:rsid w:val="00946867"/>
    <w:rsid w:val="00986DED"/>
    <w:rsid w:val="009C18BA"/>
    <w:rsid w:val="009D6AA0"/>
    <w:rsid w:val="009E3B16"/>
    <w:rsid w:val="00A17471"/>
    <w:rsid w:val="00A20F33"/>
    <w:rsid w:val="00A21C68"/>
    <w:rsid w:val="00A304FC"/>
    <w:rsid w:val="00A429FA"/>
    <w:rsid w:val="00A5411D"/>
    <w:rsid w:val="00A76769"/>
    <w:rsid w:val="00A92665"/>
    <w:rsid w:val="00AA2232"/>
    <w:rsid w:val="00AC0F19"/>
    <w:rsid w:val="00AC3F94"/>
    <w:rsid w:val="00AC4278"/>
    <w:rsid w:val="00AF4ACD"/>
    <w:rsid w:val="00B1755D"/>
    <w:rsid w:val="00B538C3"/>
    <w:rsid w:val="00B63D7C"/>
    <w:rsid w:val="00B73594"/>
    <w:rsid w:val="00B81D27"/>
    <w:rsid w:val="00B9243E"/>
    <w:rsid w:val="00BC54E3"/>
    <w:rsid w:val="00BF7624"/>
    <w:rsid w:val="00C0088A"/>
    <w:rsid w:val="00C05C81"/>
    <w:rsid w:val="00C10A5A"/>
    <w:rsid w:val="00C46E92"/>
    <w:rsid w:val="00C8664E"/>
    <w:rsid w:val="00C95126"/>
    <w:rsid w:val="00C962A7"/>
    <w:rsid w:val="00CA112C"/>
    <w:rsid w:val="00CA56C4"/>
    <w:rsid w:val="00CE2607"/>
    <w:rsid w:val="00CE2D20"/>
    <w:rsid w:val="00D0211C"/>
    <w:rsid w:val="00D07189"/>
    <w:rsid w:val="00D10F20"/>
    <w:rsid w:val="00D2452F"/>
    <w:rsid w:val="00D507B1"/>
    <w:rsid w:val="00D70111"/>
    <w:rsid w:val="00D77DBD"/>
    <w:rsid w:val="00D82F21"/>
    <w:rsid w:val="00D85CC0"/>
    <w:rsid w:val="00DB1D6B"/>
    <w:rsid w:val="00DD7B1F"/>
    <w:rsid w:val="00E07446"/>
    <w:rsid w:val="00E14905"/>
    <w:rsid w:val="00E23932"/>
    <w:rsid w:val="00E32B27"/>
    <w:rsid w:val="00E8055A"/>
    <w:rsid w:val="00E80CE9"/>
    <w:rsid w:val="00EA4A09"/>
    <w:rsid w:val="00F06D3C"/>
    <w:rsid w:val="00F07D08"/>
    <w:rsid w:val="00F22751"/>
    <w:rsid w:val="00F2771A"/>
    <w:rsid w:val="00F47C55"/>
    <w:rsid w:val="00F86758"/>
    <w:rsid w:val="00F90DFD"/>
    <w:rsid w:val="00F97276"/>
    <w:rsid w:val="00FA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002B63D3"/>
  <w15:docId w15:val="{858F838C-B17C-4555-A190-961B19FE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7B1"/>
  </w:style>
  <w:style w:type="paragraph" w:styleId="Heading1">
    <w:name w:val="heading 1"/>
    <w:basedOn w:val="Normal"/>
    <w:link w:val="Heading1Char"/>
    <w:uiPriority w:val="9"/>
    <w:qFormat/>
    <w:rsid w:val="001E78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8F3"/>
    <w:rPr>
      <w:color w:val="0000FF" w:themeColor="hyperlink"/>
      <w:u w:val="single"/>
    </w:rPr>
  </w:style>
  <w:style w:type="character" w:customStyle="1" w:styleId="apple-converted-space">
    <w:name w:val="apple-converted-space"/>
    <w:basedOn w:val="DefaultParagraphFont"/>
    <w:rsid w:val="001E78F3"/>
  </w:style>
  <w:style w:type="character" w:customStyle="1" w:styleId="Heading1Char">
    <w:name w:val="Heading 1 Char"/>
    <w:basedOn w:val="DefaultParagraphFont"/>
    <w:link w:val="Heading1"/>
    <w:uiPriority w:val="9"/>
    <w:rsid w:val="001E78F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E78F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78F3"/>
    <w:rPr>
      <w:color w:val="800080" w:themeColor="followedHyperlink"/>
      <w:u w:val="single"/>
    </w:rPr>
  </w:style>
  <w:style w:type="character" w:customStyle="1" w:styleId="sectiontitle">
    <w:name w:val="sectiontitle"/>
    <w:basedOn w:val="DefaultParagraphFont"/>
    <w:rsid w:val="006177F4"/>
  </w:style>
  <w:style w:type="character" w:customStyle="1" w:styleId="bigletter">
    <w:name w:val="bigletter"/>
    <w:basedOn w:val="DefaultParagraphFont"/>
    <w:rsid w:val="006177F4"/>
  </w:style>
  <w:style w:type="paragraph" w:styleId="BalloonText">
    <w:name w:val="Balloon Text"/>
    <w:basedOn w:val="Normal"/>
    <w:link w:val="BalloonTextChar"/>
    <w:uiPriority w:val="99"/>
    <w:semiHidden/>
    <w:unhideWhenUsed/>
    <w:rsid w:val="00286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849"/>
    <w:rPr>
      <w:rFonts w:ascii="Tahoma" w:hAnsi="Tahoma" w:cs="Tahoma"/>
      <w:sz w:val="16"/>
      <w:szCs w:val="16"/>
    </w:rPr>
  </w:style>
  <w:style w:type="table" w:styleId="TableGrid">
    <w:name w:val="Table Grid"/>
    <w:basedOn w:val="TableNormal"/>
    <w:uiPriority w:val="59"/>
    <w:rsid w:val="00D0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446"/>
    <w:pPr>
      <w:ind w:left="720"/>
      <w:contextualSpacing/>
    </w:pPr>
  </w:style>
  <w:style w:type="paragraph" w:styleId="Header">
    <w:name w:val="header"/>
    <w:basedOn w:val="Normal"/>
    <w:link w:val="HeaderChar"/>
    <w:uiPriority w:val="99"/>
    <w:unhideWhenUsed/>
    <w:rsid w:val="00170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02"/>
  </w:style>
  <w:style w:type="paragraph" w:styleId="Footer">
    <w:name w:val="footer"/>
    <w:basedOn w:val="Normal"/>
    <w:link w:val="FooterChar"/>
    <w:uiPriority w:val="99"/>
    <w:unhideWhenUsed/>
    <w:rsid w:val="00170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602"/>
  </w:style>
  <w:style w:type="table" w:styleId="PlainTable1">
    <w:name w:val="Plain Table 1"/>
    <w:basedOn w:val="TableNormal"/>
    <w:uiPriority w:val="41"/>
    <w:rsid w:val="00222F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D85CC0"/>
    <w:rPr>
      <w:color w:val="605E5C"/>
      <w:shd w:val="clear" w:color="auto" w:fill="E1DFDD"/>
    </w:rPr>
  </w:style>
  <w:style w:type="paragraph" w:styleId="FootnoteText">
    <w:name w:val="footnote text"/>
    <w:basedOn w:val="Normal"/>
    <w:link w:val="FootnoteTextChar"/>
    <w:uiPriority w:val="99"/>
    <w:semiHidden/>
    <w:unhideWhenUsed/>
    <w:rsid w:val="004B0C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C12"/>
    <w:rPr>
      <w:sz w:val="20"/>
      <w:szCs w:val="20"/>
    </w:rPr>
  </w:style>
  <w:style w:type="character" w:styleId="FootnoteReference">
    <w:name w:val="footnote reference"/>
    <w:basedOn w:val="DefaultParagraphFont"/>
    <w:uiPriority w:val="99"/>
    <w:semiHidden/>
    <w:unhideWhenUsed/>
    <w:rsid w:val="004B0C12"/>
    <w:rPr>
      <w:vertAlign w:val="superscript"/>
    </w:rPr>
  </w:style>
  <w:style w:type="paragraph" w:styleId="NoSpacing">
    <w:name w:val="No Spacing"/>
    <w:uiPriority w:val="1"/>
    <w:qFormat/>
    <w:rsid w:val="003E33A0"/>
    <w:pPr>
      <w:spacing w:after="0" w:line="240" w:lineRule="auto"/>
    </w:pPr>
  </w:style>
  <w:style w:type="paragraph" w:styleId="Subtitle">
    <w:name w:val="Subtitle"/>
    <w:basedOn w:val="Normal"/>
    <w:next w:val="Normal"/>
    <w:link w:val="SubtitleChar"/>
    <w:uiPriority w:val="11"/>
    <w:qFormat/>
    <w:rsid w:val="003E33A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33A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51671">
      <w:bodyDiv w:val="1"/>
      <w:marLeft w:val="0"/>
      <w:marRight w:val="0"/>
      <w:marTop w:val="0"/>
      <w:marBottom w:val="0"/>
      <w:divBdr>
        <w:top w:val="none" w:sz="0" w:space="0" w:color="auto"/>
        <w:left w:val="none" w:sz="0" w:space="0" w:color="auto"/>
        <w:bottom w:val="none" w:sz="0" w:space="0" w:color="auto"/>
        <w:right w:val="none" w:sz="0" w:space="0" w:color="auto"/>
      </w:divBdr>
    </w:div>
    <w:div w:id="626425794">
      <w:bodyDiv w:val="1"/>
      <w:marLeft w:val="0"/>
      <w:marRight w:val="0"/>
      <w:marTop w:val="0"/>
      <w:marBottom w:val="0"/>
      <w:divBdr>
        <w:top w:val="none" w:sz="0" w:space="0" w:color="auto"/>
        <w:left w:val="none" w:sz="0" w:space="0" w:color="auto"/>
        <w:bottom w:val="none" w:sz="0" w:space="0" w:color="auto"/>
        <w:right w:val="none" w:sz="0" w:space="0" w:color="auto"/>
      </w:divBdr>
    </w:div>
    <w:div w:id="850070696">
      <w:bodyDiv w:val="1"/>
      <w:marLeft w:val="0"/>
      <w:marRight w:val="0"/>
      <w:marTop w:val="0"/>
      <w:marBottom w:val="0"/>
      <w:divBdr>
        <w:top w:val="none" w:sz="0" w:space="0" w:color="auto"/>
        <w:left w:val="none" w:sz="0" w:space="0" w:color="auto"/>
        <w:bottom w:val="none" w:sz="0" w:space="0" w:color="auto"/>
        <w:right w:val="none" w:sz="0" w:space="0" w:color="auto"/>
      </w:divBdr>
    </w:div>
    <w:div w:id="1203515817">
      <w:bodyDiv w:val="1"/>
      <w:marLeft w:val="0"/>
      <w:marRight w:val="0"/>
      <w:marTop w:val="0"/>
      <w:marBottom w:val="0"/>
      <w:divBdr>
        <w:top w:val="none" w:sz="0" w:space="0" w:color="auto"/>
        <w:left w:val="none" w:sz="0" w:space="0" w:color="auto"/>
        <w:bottom w:val="none" w:sz="0" w:space="0" w:color="auto"/>
        <w:right w:val="none" w:sz="0" w:space="0" w:color="auto"/>
      </w:divBdr>
    </w:div>
    <w:div w:id="1751805294">
      <w:bodyDiv w:val="1"/>
      <w:marLeft w:val="0"/>
      <w:marRight w:val="0"/>
      <w:marTop w:val="0"/>
      <w:marBottom w:val="0"/>
      <w:divBdr>
        <w:top w:val="none" w:sz="0" w:space="0" w:color="auto"/>
        <w:left w:val="none" w:sz="0" w:space="0" w:color="auto"/>
        <w:bottom w:val="none" w:sz="0" w:space="0" w:color="auto"/>
        <w:right w:val="none" w:sz="0" w:space="0" w:color="auto"/>
      </w:divBdr>
      <w:divsChild>
        <w:div w:id="801771552">
          <w:marLeft w:val="0"/>
          <w:marRight w:val="0"/>
          <w:marTop w:val="0"/>
          <w:marBottom w:val="210"/>
          <w:divBdr>
            <w:top w:val="none" w:sz="0" w:space="0" w:color="auto"/>
            <w:left w:val="none" w:sz="0" w:space="0" w:color="auto"/>
            <w:bottom w:val="none" w:sz="0" w:space="0" w:color="auto"/>
            <w:right w:val="none" w:sz="0" w:space="0" w:color="auto"/>
          </w:divBdr>
        </w:div>
        <w:div w:id="698970293">
          <w:marLeft w:val="0"/>
          <w:marRight w:val="0"/>
          <w:marTop w:val="0"/>
          <w:marBottom w:val="210"/>
          <w:divBdr>
            <w:top w:val="none" w:sz="0" w:space="0" w:color="auto"/>
            <w:left w:val="none" w:sz="0" w:space="0" w:color="auto"/>
            <w:bottom w:val="none" w:sz="0" w:space="0" w:color="auto"/>
            <w:right w:val="none" w:sz="0" w:space="0" w:color="auto"/>
          </w:divBdr>
        </w:div>
      </w:divsChild>
    </w:div>
    <w:div w:id="193123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eere/electricvehicles/electric-vehicles-tax-credits-and-other-incentives" TargetMode="External"/><Relationship Id="rId13" Type="http://schemas.openxmlformats.org/officeDocument/2006/relationships/hyperlink" Target="https://www.dmv.ca.gov/portal/dmv/?1dmy&amp;urile=wcm:path:/dmv_content_en/dmv/vr/decal"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redwoodenergy.org/wp-content/uploads/2018/06/RCEA_Res_rates4_March2018.pdf"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ge.com/en_US/residential/solar-and-vehicles/options/clean-vehicles/electric/clean-fuel-rebate-for-electric-vehicles.page?WT.mc_id=Vanity_cleanfuelrebate" TargetMode="External"/><Relationship Id="rId5" Type="http://schemas.openxmlformats.org/officeDocument/2006/relationships/footnotes" Target="footnotes.xml"/><Relationship Id="rId15" Type="http://schemas.openxmlformats.org/officeDocument/2006/relationships/hyperlink" Target="https://www.farmers.com/california/" TargetMode="External"/><Relationship Id="rId10" Type="http://schemas.openxmlformats.org/officeDocument/2006/relationships/hyperlink" Target="https://cleanvehiclegrants.org/process/"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cleanvehiclerebate.org/eng/eligible-vehicles" TargetMode="External"/><Relationship Id="rId14" Type="http://schemas.openxmlformats.org/officeDocument/2006/relationships/hyperlink" Target="https://www.clippercreek.com/evse-rebates-and-tax-credits-by-state/?utm_source=Newsletter&amp;utm_medium=email&amp;utm_content=Holiday+Sale%2C+Expiring+EVSE+rebates%2C+More&amp;utm_campaign=December+2018+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B9441-C3EB-475B-A103-77C4535D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Pierce Schwalb</dc:creator>
  <cp:lastModifiedBy>Meredith Morehead</cp:lastModifiedBy>
  <cp:revision>3</cp:revision>
  <cp:lastPrinted>2018-12-06T17:48:00Z</cp:lastPrinted>
  <dcterms:created xsi:type="dcterms:W3CDTF">2018-12-21T19:03:00Z</dcterms:created>
  <dcterms:modified xsi:type="dcterms:W3CDTF">2018-12-21T19:20:00Z</dcterms:modified>
</cp:coreProperties>
</file>